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F9" w:rsidRPr="0049516B" w:rsidRDefault="00127FEB" w:rsidP="0096712E">
      <w:pPr>
        <w:pStyle w:val="NormalWeb"/>
        <w:spacing w:before="0" w:beforeAutospacing="0" w:after="0" w:afterAutospacing="0"/>
        <w:ind w:left="720" w:right="72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27FEB">
        <w:rPr>
          <w:rFonts w:ascii="Times New Roman" w:hAnsi="Times New Roman" w:cs="Times New Roman"/>
          <w:b/>
          <w:bCs/>
          <w:sz w:val="22"/>
          <w:szCs w:val="22"/>
        </w:rPr>
        <w:t>CTB Decision Brief</w:t>
      </w:r>
    </w:p>
    <w:p w:rsidR="006958F9" w:rsidRPr="0049516B" w:rsidRDefault="006958F9" w:rsidP="006958F9">
      <w:pPr>
        <w:pStyle w:val="NormalWeb"/>
        <w:spacing w:before="0" w:beforeAutospacing="0" w:after="0" w:afterAutospacing="0"/>
        <w:ind w:left="720" w:right="72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6958F9" w:rsidRPr="00B131A8" w:rsidRDefault="00585A14" w:rsidP="0096712E">
      <w:pPr>
        <w:pStyle w:val="Title"/>
        <w:outlineLvl w:val="0"/>
        <w:rPr>
          <w:sz w:val="22"/>
          <w:szCs w:val="22"/>
          <w:u w:val="single"/>
        </w:rPr>
      </w:pPr>
      <w:r w:rsidRPr="00585A14">
        <w:rPr>
          <w:sz w:val="22"/>
          <w:szCs w:val="22"/>
          <w:u w:val="single"/>
        </w:rPr>
        <w:t>FY201</w:t>
      </w:r>
      <w:r w:rsidR="00024FCF">
        <w:rPr>
          <w:sz w:val="22"/>
          <w:szCs w:val="22"/>
          <w:u w:val="single"/>
        </w:rPr>
        <w:t>5</w:t>
      </w:r>
      <w:r w:rsidRPr="00585A14">
        <w:rPr>
          <w:sz w:val="22"/>
          <w:szCs w:val="22"/>
          <w:u w:val="single"/>
        </w:rPr>
        <w:t>-20</w:t>
      </w:r>
      <w:r w:rsidR="00024FCF">
        <w:rPr>
          <w:sz w:val="22"/>
          <w:szCs w:val="22"/>
          <w:u w:val="single"/>
        </w:rPr>
        <w:t>20</w:t>
      </w:r>
      <w:r w:rsidRPr="00585A14">
        <w:rPr>
          <w:sz w:val="22"/>
          <w:szCs w:val="22"/>
          <w:u w:val="single"/>
        </w:rPr>
        <w:t xml:space="preserve"> Six-Year Improvement Program Transfers</w:t>
      </w:r>
    </w:p>
    <w:p w:rsidR="006958F9" w:rsidRPr="00B131A8" w:rsidRDefault="00585A14" w:rsidP="0096712E">
      <w:pPr>
        <w:jc w:val="center"/>
        <w:outlineLvl w:val="0"/>
        <w:rPr>
          <w:sz w:val="22"/>
          <w:szCs w:val="22"/>
          <w:u w:val="single"/>
        </w:rPr>
      </w:pPr>
      <w:r w:rsidRPr="00585A14">
        <w:rPr>
          <w:sz w:val="22"/>
          <w:szCs w:val="22"/>
          <w:u w:val="single"/>
        </w:rPr>
        <w:t xml:space="preserve">For </w:t>
      </w:r>
      <w:r w:rsidR="00244048">
        <w:rPr>
          <w:sz w:val="22"/>
          <w:szCs w:val="22"/>
          <w:u w:val="single"/>
        </w:rPr>
        <w:t>January 24, 2015</w:t>
      </w:r>
      <w:r w:rsidR="00024FCF">
        <w:rPr>
          <w:sz w:val="22"/>
          <w:szCs w:val="22"/>
          <w:u w:val="single"/>
        </w:rPr>
        <w:t xml:space="preserve"> through </w:t>
      </w:r>
      <w:r w:rsidR="00244048">
        <w:rPr>
          <w:sz w:val="22"/>
          <w:szCs w:val="22"/>
          <w:u w:val="single"/>
        </w:rPr>
        <w:t>February 20</w:t>
      </w:r>
      <w:r w:rsidR="00175CE0">
        <w:rPr>
          <w:sz w:val="22"/>
          <w:szCs w:val="22"/>
          <w:u w:val="single"/>
        </w:rPr>
        <w:t>, 2015</w:t>
      </w:r>
      <w:r w:rsidRPr="00585A14">
        <w:rPr>
          <w:sz w:val="22"/>
          <w:szCs w:val="22"/>
          <w:u w:val="single"/>
        </w:rPr>
        <w:t xml:space="preserve"> </w:t>
      </w:r>
    </w:p>
    <w:p w:rsidR="003F702F" w:rsidRPr="0049516B" w:rsidRDefault="003F702F" w:rsidP="0096712E">
      <w:pPr>
        <w:jc w:val="center"/>
        <w:outlineLvl w:val="0"/>
        <w:rPr>
          <w:b/>
          <w:sz w:val="22"/>
          <w:szCs w:val="22"/>
          <w:u w:val="single"/>
        </w:rPr>
      </w:pPr>
    </w:p>
    <w:p w:rsidR="006958F9" w:rsidRPr="0049516B" w:rsidRDefault="00127FEB" w:rsidP="006958F9">
      <w:pPr>
        <w:ind w:left="720"/>
        <w:rPr>
          <w:sz w:val="22"/>
          <w:szCs w:val="22"/>
        </w:rPr>
      </w:pPr>
      <w:r w:rsidRPr="00127FEB">
        <w:rPr>
          <w:b/>
          <w:bCs/>
          <w:sz w:val="22"/>
          <w:szCs w:val="22"/>
        </w:rPr>
        <w:t>Issue:</w:t>
      </w:r>
      <w:r w:rsidRPr="00127FEB">
        <w:rPr>
          <w:sz w:val="22"/>
          <w:szCs w:val="22"/>
        </w:rPr>
        <w:t xml:space="preserve">   Each year the Commonwealth Transportation Board (CTB) must adopt a Six-Year Improvement Program (SYIP) in accordance with statutes and federal regulations. Throughout the year, it may become necessary to transfer funds between projects to have allocations available to continue and/or initiate projects and programs adopted in the SYIP.  </w:t>
      </w:r>
    </w:p>
    <w:p w:rsidR="006958F9" w:rsidRPr="0049516B" w:rsidRDefault="006958F9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</w:p>
    <w:p w:rsidR="001519B1" w:rsidRDefault="00127FEB" w:rsidP="00426222">
      <w:pPr>
        <w:ind w:left="720"/>
        <w:rPr>
          <w:sz w:val="22"/>
          <w:szCs w:val="22"/>
        </w:rPr>
      </w:pPr>
      <w:r w:rsidRPr="00127FEB">
        <w:rPr>
          <w:b/>
          <w:bCs/>
          <w:sz w:val="22"/>
          <w:szCs w:val="22"/>
        </w:rPr>
        <w:t>Facts:</w:t>
      </w:r>
      <w:r w:rsidRPr="00127FEB">
        <w:rPr>
          <w:sz w:val="22"/>
          <w:szCs w:val="22"/>
        </w:rPr>
        <w:t xml:space="preserve">  On </w:t>
      </w:r>
      <w:r w:rsidR="00442D7F">
        <w:rPr>
          <w:sz w:val="22"/>
          <w:szCs w:val="22"/>
        </w:rPr>
        <w:t>November 12</w:t>
      </w:r>
      <w:r w:rsidRPr="00127FEB">
        <w:rPr>
          <w:sz w:val="22"/>
          <w:szCs w:val="22"/>
        </w:rPr>
        <w:t>, 201</w:t>
      </w:r>
      <w:r w:rsidR="00024FCF">
        <w:rPr>
          <w:sz w:val="22"/>
          <w:szCs w:val="22"/>
        </w:rPr>
        <w:t>4</w:t>
      </w:r>
      <w:r w:rsidRPr="00127FEB">
        <w:rPr>
          <w:sz w:val="22"/>
          <w:szCs w:val="22"/>
        </w:rPr>
        <w:t>, the CTB granted authority to the Commissioner of Highways</w:t>
      </w:r>
      <w:r w:rsidR="00FB019B">
        <w:rPr>
          <w:sz w:val="22"/>
          <w:szCs w:val="22"/>
        </w:rPr>
        <w:t xml:space="preserve"> (Commissioner)</w:t>
      </w:r>
      <w:r w:rsidRPr="00127FEB">
        <w:rPr>
          <w:sz w:val="22"/>
          <w:szCs w:val="22"/>
        </w:rPr>
        <w:t xml:space="preserve">, upon written recommendation by the Virginia Department of Transportation’s </w:t>
      </w:r>
      <w:r w:rsidR="008834B8">
        <w:rPr>
          <w:sz w:val="22"/>
          <w:szCs w:val="22"/>
        </w:rPr>
        <w:t xml:space="preserve">(VDOT’s) </w:t>
      </w:r>
      <w:r w:rsidRPr="00127FEB">
        <w:rPr>
          <w:sz w:val="22"/>
          <w:szCs w:val="22"/>
        </w:rPr>
        <w:t xml:space="preserve">Chief </w:t>
      </w:r>
      <w:r w:rsidR="00442D7F">
        <w:rPr>
          <w:sz w:val="22"/>
          <w:szCs w:val="22"/>
        </w:rPr>
        <w:t>Financial Officer</w:t>
      </w:r>
      <w:r w:rsidRPr="00127FEB">
        <w:rPr>
          <w:sz w:val="22"/>
          <w:szCs w:val="22"/>
        </w:rPr>
        <w:t xml:space="preserve"> and after consultation with the </w:t>
      </w:r>
      <w:r w:rsidR="008834B8">
        <w:rPr>
          <w:sz w:val="22"/>
          <w:szCs w:val="22"/>
        </w:rPr>
        <w:t>CTB</w:t>
      </w:r>
      <w:r w:rsidRPr="00127FEB">
        <w:rPr>
          <w:sz w:val="22"/>
          <w:szCs w:val="22"/>
        </w:rPr>
        <w:t xml:space="preserve"> member for the district, to transfer up to ten percent of funds allocated to one or more interstate or primary projects within a transportation construction district and system to another (other) interstate or primary project(s) within the same transportation construction district and system to meet the </w:t>
      </w:r>
      <w:r w:rsidR="008834B8">
        <w:rPr>
          <w:sz w:val="22"/>
          <w:szCs w:val="22"/>
        </w:rPr>
        <w:t>CTB’s</w:t>
      </w:r>
      <w:r w:rsidR="008834B8" w:rsidRPr="00127FEB">
        <w:rPr>
          <w:sz w:val="22"/>
          <w:szCs w:val="22"/>
        </w:rPr>
        <w:t xml:space="preserve"> </w:t>
      </w:r>
      <w:r w:rsidRPr="00127FEB">
        <w:rPr>
          <w:sz w:val="22"/>
          <w:szCs w:val="22"/>
        </w:rPr>
        <w:t xml:space="preserve">statutory requirements and policy goals.  </w:t>
      </w:r>
    </w:p>
    <w:p w:rsidR="001519B1" w:rsidRDefault="001519B1" w:rsidP="00426222">
      <w:pPr>
        <w:ind w:left="720"/>
        <w:rPr>
          <w:sz w:val="22"/>
          <w:szCs w:val="22"/>
        </w:rPr>
      </w:pPr>
    </w:p>
    <w:p w:rsidR="001519B1" w:rsidRDefault="00127FEB" w:rsidP="00426222">
      <w:pPr>
        <w:ind w:left="720"/>
        <w:rPr>
          <w:sz w:val="22"/>
          <w:szCs w:val="22"/>
        </w:rPr>
      </w:pPr>
      <w:r w:rsidRPr="00127FEB">
        <w:rPr>
          <w:sz w:val="22"/>
          <w:szCs w:val="22"/>
        </w:rPr>
        <w:t xml:space="preserve">In addition, the CTB resolved that the Commissioner should bring requests for transfers of allocations exceeding ten percent of the funds allocated to the donor project to the </w:t>
      </w:r>
      <w:r w:rsidR="008834B8">
        <w:rPr>
          <w:sz w:val="22"/>
          <w:szCs w:val="22"/>
        </w:rPr>
        <w:t>CTB</w:t>
      </w:r>
      <w:r w:rsidR="008834B8" w:rsidRPr="00127FEB">
        <w:rPr>
          <w:sz w:val="22"/>
          <w:szCs w:val="22"/>
        </w:rPr>
        <w:t xml:space="preserve"> </w:t>
      </w:r>
      <w:r w:rsidRPr="00127FEB">
        <w:rPr>
          <w:sz w:val="22"/>
          <w:szCs w:val="22"/>
        </w:rPr>
        <w:t xml:space="preserve">on a monthly basis for </w:t>
      </w:r>
      <w:r w:rsidR="008C3E57" w:rsidRPr="00127FEB">
        <w:rPr>
          <w:sz w:val="22"/>
          <w:szCs w:val="22"/>
        </w:rPr>
        <w:t>its</w:t>
      </w:r>
      <w:r w:rsidRPr="00127FEB">
        <w:rPr>
          <w:sz w:val="22"/>
          <w:szCs w:val="22"/>
        </w:rPr>
        <w:t xml:space="preserve"> approval prior to taking any action to record or award such action.  </w:t>
      </w:r>
    </w:p>
    <w:p w:rsidR="001519B1" w:rsidRDefault="001519B1" w:rsidP="00426222">
      <w:pPr>
        <w:ind w:left="720"/>
        <w:rPr>
          <w:sz w:val="22"/>
          <w:szCs w:val="22"/>
        </w:rPr>
      </w:pPr>
    </w:p>
    <w:p w:rsidR="008F3065" w:rsidRPr="0049516B" w:rsidRDefault="00175CE0" w:rsidP="00426222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Notwithstanding </w:t>
      </w:r>
      <w:r w:rsidR="004D653D">
        <w:rPr>
          <w:sz w:val="22"/>
          <w:szCs w:val="22"/>
        </w:rPr>
        <w:t>this</w:t>
      </w:r>
      <w:r>
        <w:rPr>
          <w:sz w:val="22"/>
          <w:szCs w:val="22"/>
        </w:rPr>
        <w:t xml:space="preserve"> authority granted </w:t>
      </w:r>
      <w:r w:rsidR="004D653D">
        <w:rPr>
          <w:sz w:val="22"/>
          <w:szCs w:val="22"/>
        </w:rPr>
        <w:t xml:space="preserve">to the Commissioner </w:t>
      </w:r>
      <w:r>
        <w:rPr>
          <w:sz w:val="22"/>
          <w:szCs w:val="22"/>
        </w:rPr>
        <w:t>by the CTB</w:t>
      </w:r>
      <w:r w:rsidR="004D653D">
        <w:rPr>
          <w:sz w:val="22"/>
          <w:szCs w:val="22"/>
        </w:rPr>
        <w:t>,</w:t>
      </w:r>
      <w:r w:rsidR="009F1CF7">
        <w:rPr>
          <w:sz w:val="22"/>
          <w:szCs w:val="22"/>
        </w:rPr>
        <w:t xml:space="preserve"> </w:t>
      </w:r>
      <w:r w:rsidR="004D653D">
        <w:rPr>
          <w:sz w:val="22"/>
          <w:szCs w:val="22"/>
        </w:rPr>
        <w:t>to</w:t>
      </w:r>
      <w:r w:rsidR="001519B1">
        <w:rPr>
          <w:sz w:val="22"/>
          <w:szCs w:val="22"/>
        </w:rPr>
        <w:t xml:space="preserve"> promote efficiency of business operations, the Commissioner </w:t>
      </w:r>
      <w:proofErr w:type="gramStart"/>
      <w:r w:rsidR="001519B1">
        <w:rPr>
          <w:sz w:val="22"/>
          <w:szCs w:val="22"/>
        </w:rPr>
        <w:t>requests</w:t>
      </w:r>
      <w:proofErr w:type="gramEnd"/>
      <w:r w:rsidR="001519B1">
        <w:rPr>
          <w:sz w:val="22"/>
          <w:szCs w:val="22"/>
        </w:rPr>
        <w:t xml:space="preserve"> CTB concurrence to</w:t>
      </w:r>
      <w:r w:rsidR="001519B1" w:rsidRPr="001519B1">
        <w:rPr>
          <w:sz w:val="22"/>
          <w:szCs w:val="22"/>
        </w:rPr>
        <w:t xml:space="preserve"> </w:t>
      </w:r>
      <w:r w:rsidR="004D653D">
        <w:rPr>
          <w:sz w:val="22"/>
          <w:szCs w:val="22"/>
        </w:rPr>
        <w:t xml:space="preserve">allow him to </w:t>
      </w:r>
      <w:r w:rsidR="001519B1" w:rsidRPr="001519B1">
        <w:rPr>
          <w:sz w:val="22"/>
          <w:szCs w:val="22"/>
        </w:rPr>
        <w:t xml:space="preserve">grant a designee the authority </w:t>
      </w:r>
      <w:r w:rsidR="004D653D">
        <w:rPr>
          <w:sz w:val="22"/>
          <w:szCs w:val="22"/>
        </w:rPr>
        <w:t xml:space="preserve">to approve project-to-project transfers </w:t>
      </w:r>
      <w:r w:rsidR="00346F2B">
        <w:rPr>
          <w:sz w:val="22"/>
          <w:szCs w:val="22"/>
        </w:rPr>
        <w:t xml:space="preserve">for transfers up to ten percent, </w:t>
      </w:r>
      <w:r w:rsidR="004D653D">
        <w:rPr>
          <w:sz w:val="22"/>
          <w:szCs w:val="22"/>
        </w:rPr>
        <w:t>as described above</w:t>
      </w:r>
      <w:r w:rsidR="001519B1">
        <w:rPr>
          <w:sz w:val="22"/>
          <w:szCs w:val="22"/>
        </w:rPr>
        <w:t>.</w:t>
      </w:r>
    </w:p>
    <w:p w:rsidR="008F3065" w:rsidRPr="0049516B" w:rsidRDefault="008F3065" w:rsidP="00426222">
      <w:pPr>
        <w:ind w:left="720"/>
        <w:rPr>
          <w:sz w:val="22"/>
          <w:szCs w:val="22"/>
        </w:rPr>
      </w:pPr>
    </w:p>
    <w:p w:rsidR="006958F9" w:rsidRPr="0049516B" w:rsidRDefault="00127FEB" w:rsidP="00426222">
      <w:pPr>
        <w:ind w:left="720"/>
        <w:rPr>
          <w:sz w:val="22"/>
          <w:szCs w:val="22"/>
        </w:rPr>
      </w:pPr>
      <w:r w:rsidRPr="00127FEB">
        <w:rPr>
          <w:sz w:val="22"/>
          <w:szCs w:val="22"/>
        </w:rPr>
        <w:t xml:space="preserve">The CTB will be presented with a resolution for formal vote to approve the transfer of funds exceeding ten percent of the funds allocated to the donor project.   The list of transfers </w:t>
      </w:r>
      <w:r w:rsidRPr="00085A5F">
        <w:rPr>
          <w:sz w:val="22"/>
          <w:szCs w:val="22"/>
        </w:rPr>
        <w:t xml:space="preserve">from </w:t>
      </w:r>
      <w:r w:rsidR="00244048">
        <w:rPr>
          <w:sz w:val="22"/>
          <w:szCs w:val="22"/>
        </w:rPr>
        <w:t>January 24, 2015</w:t>
      </w:r>
      <w:r w:rsidR="00935B11" w:rsidRPr="00FE062C">
        <w:rPr>
          <w:sz w:val="22"/>
          <w:szCs w:val="22"/>
        </w:rPr>
        <w:t xml:space="preserve"> through </w:t>
      </w:r>
      <w:r w:rsidR="00244048">
        <w:rPr>
          <w:sz w:val="22"/>
          <w:szCs w:val="22"/>
        </w:rPr>
        <w:t>February 20, 2015</w:t>
      </w:r>
      <w:r w:rsidRPr="00127FEB">
        <w:rPr>
          <w:sz w:val="22"/>
          <w:szCs w:val="22"/>
        </w:rPr>
        <w:t xml:space="preserve"> is attached.  </w:t>
      </w:r>
    </w:p>
    <w:p w:rsidR="006958F9" w:rsidRPr="0049516B" w:rsidRDefault="006958F9" w:rsidP="006958F9">
      <w:pPr>
        <w:ind w:left="720"/>
        <w:rPr>
          <w:sz w:val="22"/>
          <w:szCs w:val="22"/>
        </w:rPr>
      </w:pPr>
    </w:p>
    <w:p w:rsidR="006958F9" w:rsidRPr="0049516B" w:rsidRDefault="00127FEB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  <w:r w:rsidRPr="00127FEB">
        <w:rPr>
          <w:rFonts w:ascii="Times New Roman" w:hAnsi="Times New Roman" w:cs="Times New Roman"/>
          <w:b/>
          <w:bCs/>
          <w:sz w:val="22"/>
          <w:szCs w:val="22"/>
        </w:rPr>
        <w:t>Recommendations:</w:t>
      </w:r>
      <w:r w:rsidRPr="00127FEB">
        <w:rPr>
          <w:rFonts w:ascii="Times New Roman" w:hAnsi="Times New Roman" w:cs="Times New Roman"/>
          <w:sz w:val="22"/>
          <w:szCs w:val="22"/>
        </w:rPr>
        <w:t xml:space="preserve">  </w:t>
      </w:r>
      <w:r w:rsidR="008834B8">
        <w:rPr>
          <w:rFonts w:ascii="Times New Roman" w:hAnsi="Times New Roman" w:cs="Times New Roman"/>
          <w:sz w:val="22"/>
          <w:szCs w:val="22"/>
        </w:rPr>
        <w:t>VDOT</w:t>
      </w:r>
      <w:r w:rsidRPr="00127FEB">
        <w:rPr>
          <w:rFonts w:ascii="Times New Roman" w:hAnsi="Times New Roman" w:cs="Times New Roman"/>
          <w:sz w:val="22"/>
          <w:szCs w:val="22"/>
        </w:rPr>
        <w:t xml:space="preserve"> recommends the approval of the transfers exceeding ten percent from donor projects to projects that meet the </w:t>
      </w:r>
      <w:r w:rsidR="008834B8">
        <w:rPr>
          <w:rFonts w:ascii="Times New Roman" w:hAnsi="Times New Roman" w:cs="Times New Roman"/>
          <w:sz w:val="22"/>
          <w:szCs w:val="22"/>
        </w:rPr>
        <w:t>CTB’s</w:t>
      </w:r>
      <w:r w:rsidR="008834B8" w:rsidRPr="00127FEB">
        <w:rPr>
          <w:rFonts w:ascii="Times New Roman" w:hAnsi="Times New Roman" w:cs="Times New Roman"/>
          <w:sz w:val="22"/>
          <w:szCs w:val="22"/>
        </w:rPr>
        <w:t xml:space="preserve"> </w:t>
      </w:r>
      <w:r w:rsidRPr="00127FEB">
        <w:rPr>
          <w:rFonts w:ascii="Times New Roman" w:hAnsi="Times New Roman" w:cs="Times New Roman"/>
          <w:sz w:val="22"/>
          <w:szCs w:val="22"/>
        </w:rPr>
        <w:t xml:space="preserve">statutory requirements and policy goals.   </w:t>
      </w:r>
    </w:p>
    <w:p w:rsidR="006958F9" w:rsidRPr="0049516B" w:rsidRDefault="006958F9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6958F9" w:rsidRPr="0049516B" w:rsidRDefault="00127FEB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  <w:r w:rsidRPr="00127FEB">
        <w:rPr>
          <w:rFonts w:ascii="Times New Roman" w:hAnsi="Times New Roman" w:cs="Times New Roman"/>
          <w:b/>
          <w:bCs/>
          <w:sz w:val="22"/>
          <w:szCs w:val="22"/>
        </w:rPr>
        <w:t>Action Required by CTB:</w:t>
      </w:r>
      <w:r w:rsidRPr="00127FEB">
        <w:rPr>
          <w:rFonts w:ascii="Times New Roman" w:hAnsi="Times New Roman" w:cs="Times New Roman"/>
          <w:sz w:val="22"/>
          <w:szCs w:val="22"/>
        </w:rPr>
        <w:t>  The CTB will be presented with a resolution for a formal vote to adopt changes to the SYIP for Fiscal Years 201</w:t>
      </w:r>
      <w:r w:rsidR="00024FCF">
        <w:rPr>
          <w:rFonts w:ascii="Times New Roman" w:hAnsi="Times New Roman" w:cs="Times New Roman"/>
          <w:sz w:val="22"/>
          <w:szCs w:val="22"/>
        </w:rPr>
        <w:t>5</w:t>
      </w:r>
      <w:r w:rsidRPr="00127FEB">
        <w:rPr>
          <w:rFonts w:ascii="Times New Roman" w:hAnsi="Times New Roman" w:cs="Times New Roman"/>
          <w:sz w:val="22"/>
          <w:szCs w:val="22"/>
        </w:rPr>
        <w:t xml:space="preserve"> – 20</w:t>
      </w:r>
      <w:r w:rsidR="00024FCF">
        <w:rPr>
          <w:rFonts w:ascii="Times New Roman" w:hAnsi="Times New Roman" w:cs="Times New Roman"/>
          <w:sz w:val="22"/>
          <w:szCs w:val="22"/>
        </w:rPr>
        <w:t>20</w:t>
      </w:r>
      <w:r w:rsidRPr="00127FEB">
        <w:rPr>
          <w:rFonts w:ascii="Times New Roman" w:hAnsi="Times New Roman" w:cs="Times New Roman"/>
          <w:sz w:val="22"/>
          <w:szCs w:val="22"/>
        </w:rPr>
        <w:t xml:space="preserve"> that include transfers of allocated funds exceeding ten percent from donor projects to projects that meet the </w:t>
      </w:r>
      <w:r w:rsidR="008834B8">
        <w:rPr>
          <w:rFonts w:ascii="Times New Roman" w:hAnsi="Times New Roman" w:cs="Times New Roman"/>
          <w:sz w:val="22"/>
          <w:szCs w:val="22"/>
        </w:rPr>
        <w:t>CTB’s</w:t>
      </w:r>
      <w:r w:rsidR="008834B8" w:rsidRPr="00127FEB">
        <w:rPr>
          <w:rFonts w:ascii="Times New Roman" w:hAnsi="Times New Roman" w:cs="Times New Roman"/>
          <w:sz w:val="22"/>
          <w:szCs w:val="22"/>
        </w:rPr>
        <w:t xml:space="preserve"> </w:t>
      </w:r>
      <w:r w:rsidRPr="00127FEB">
        <w:rPr>
          <w:rFonts w:ascii="Times New Roman" w:hAnsi="Times New Roman" w:cs="Times New Roman"/>
          <w:sz w:val="22"/>
          <w:szCs w:val="22"/>
        </w:rPr>
        <w:t>statutory requirements and policy goals.</w:t>
      </w:r>
    </w:p>
    <w:p w:rsidR="00F22667" w:rsidRPr="0049516B" w:rsidRDefault="00F22667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</w:p>
    <w:p w:rsidR="00F22667" w:rsidRPr="0049516B" w:rsidRDefault="00127FEB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  <w:r w:rsidRPr="00127FEB">
        <w:rPr>
          <w:rFonts w:ascii="Times New Roman" w:hAnsi="Times New Roman" w:cs="Times New Roman"/>
          <w:b/>
          <w:sz w:val="22"/>
          <w:szCs w:val="22"/>
        </w:rPr>
        <w:t>Result, if Approved</w:t>
      </w:r>
      <w:r w:rsidRPr="00127FEB">
        <w:rPr>
          <w:rFonts w:ascii="Times New Roman" w:hAnsi="Times New Roman" w:cs="Times New Roman"/>
          <w:sz w:val="22"/>
          <w:szCs w:val="22"/>
        </w:rPr>
        <w:t xml:space="preserve">: If approved, the funds will be transferred from the donor projects to projects that meet the </w:t>
      </w:r>
      <w:r w:rsidR="008834B8">
        <w:rPr>
          <w:rFonts w:ascii="Times New Roman" w:hAnsi="Times New Roman" w:cs="Times New Roman"/>
          <w:sz w:val="22"/>
          <w:szCs w:val="22"/>
        </w:rPr>
        <w:t>CTB’s</w:t>
      </w:r>
      <w:r w:rsidR="008834B8" w:rsidRPr="00127FEB">
        <w:rPr>
          <w:rFonts w:ascii="Times New Roman" w:hAnsi="Times New Roman" w:cs="Times New Roman"/>
          <w:sz w:val="22"/>
          <w:szCs w:val="22"/>
        </w:rPr>
        <w:t xml:space="preserve"> </w:t>
      </w:r>
      <w:r w:rsidRPr="00127FEB">
        <w:rPr>
          <w:rFonts w:ascii="Times New Roman" w:hAnsi="Times New Roman" w:cs="Times New Roman"/>
          <w:sz w:val="22"/>
          <w:szCs w:val="22"/>
        </w:rPr>
        <w:t>statutory requirements and policy goals.</w:t>
      </w:r>
    </w:p>
    <w:p w:rsidR="006958F9" w:rsidRPr="0049516B" w:rsidRDefault="00127FEB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b/>
          <w:bCs/>
          <w:sz w:val="22"/>
          <w:szCs w:val="22"/>
        </w:rPr>
      </w:pPr>
      <w:r w:rsidRPr="00127FE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6958F9" w:rsidRPr="0049516B" w:rsidRDefault="00127FEB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sz w:val="22"/>
          <w:szCs w:val="22"/>
        </w:rPr>
      </w:pPr>
      <w:r w:rsidRPr="00127FEB">
        <w:rPr>
          <w:rFonts w:ascii="Times New Roman" w:hAnsi="Times New Roman" w:cs="Times New Roman"/>
          <w:b/>
          <w:bCs/>
          <w:sz w:val="22"/>
          <w:szCs w:val="22"/>
        </w:rPr>
        <w:t>Options:</w:t>
      </w:r>
      <w:r w:rsidRPr="00127FEB">
        <w:rPr>
          <w:rFonts w:ascii="Times New Roman" w:hAnsi="Times New Roman" w:cs="Times New Roman"/>
          <w:sz w:val="22"/>
          <w:szCs w:val="22"/>
        </w:rPr>
        <w:t xml:space="preserve">  Approve, Deny, or Defer.</w:t>
      </w:r>
    </w:p>
    <w:p w:rsidR="006958F9" w:rsidRPr="0049516B" w:rsidRDefault="006958F9" w:rsidP="006958F9">
      <w:pPr>
        <w:pStyle w:val="NormalWeb"/>
        <w:spacing w:before="0" w:beforeAutospacing="0" w:after="0" w:afterAutospacing="0"/>
        <w:ind w:left="720" w:right="720"/>
        <w:rPr>
          <w:rFonts w:ascii="Times New Roman" w:hAnsi="Times New Roman" w:cs="Times New Roman"/>
          <w:b/>
          <w:bCs/>
          <w:sz w:val="22"/>
          <w:szCs w:val="22"/>
        </w:rPr>
      </w:pPr>
    </w:p>
    <w:p w:rsidR="006958F9" w:rsidRPr="0049516B" w:rsidRDefault="00127FEB" w:rsidP="006958F9">
      <w:pPr>
        <w:ind w:left="720"/>
        <w:rPr>
          <w:sz w:val="22"/>
          <w:szCs w:val="22"/>
        </w:rPr>
      </w:pPr>
      <w:r w:rsidRPr="00127FEB">
        <w:rPr>
          <w:b/>
          <w:bCs/>
          <w:sz w:val="22"/>
          <w:szCs w:val="22"/>
        </w:rPr>
        <w:t>Public Comments/Reactions:</w:t>
      </w:r>
      <w:r w:rsidRPr="00127FEB">
        <w:rPr>
          <w:sz w:val="22"/>
          <w:szCs w:val="22"/>
        </w:rPr>
        <w:t xml:space="preserve"> </w:t>
      </w:r>
      <w:r w:rsidR="00C01ED1">
        <w:rPr>
          <w:sz w:val="22"/>
          <w:szCs w:val="22"/>
        </w:rPr>
        <w:t>None</w:t>
      </w:r>
      <w:r w:rsidRPr="00127FEB">
        <w:rPr>
          <w:sz w:val="22"/>
          <w:szCs w:val="22"/>
        </w:rPr>
        <w:t xml:space="preserve"> </w:t>
      </w:r>
    </w:p>
    <w:p w:rsidR="006958F9" w:rsidRPr="0049516B" w:rsidRDefault="006958F9" w:rsidP="006958F9">
      <w:pPr>
        <w:rPr>
          <w:sz w:val="22"/>
          <w:szCs w:val="22"/>
        </w:rPr>
      </w:pPr>
    </w:p>
    <w:sectPr w:rsidR="006958F9" w:rsidRPr="0049516B" w:rsidSect="005C3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F9"/>
    <w:rsid w:val="00024FCF"/>
    <w:rsid w:val="00041CD2"/>
    <w:rsid w:val="00046036"/>
    <w:rsid w:val="000657DF"/>
    <w:rsid w:val="00070E04"/>
    <w:rsid w:val="00085A5F"/>
    <w:rsid w:val="000B1C2F"/>
    <w:rsid w:val="000C1DD0"/>
    <w:rsid w:val="000C73B9"/>
    <w:rsid w:val="000D1B13"/>
    <w:rsid w:val="000D713F"/>
    <w:rsid w:val="000E58D5"/>
    <w:rsid w:val="000E637D"/>
    <w:rsid w:val="001113DB"/>
    <w:rsid w:val="00127FEB"/>
    <w:rsid w:val="001301A8"/>
    <w:rsid w:val="001519B1"/>
    <w:rsid w:val="0015474E"/>
    <w:rsid w:val="00175CE0"/>
    <w:rsid w:val="001958F4"/>
    <w:rsid w:val="001A5B18"/>
    <w:rsid w:val="001E01F7"/>
    <w:rsid w:val="00201CA8"/>
    <w:rsid w:val="00202B39"/>
    <w:rsid w:val="002031DD"/>
    <w:rsid w:val="002063D6"/>
    <w:rsid w:val="00244048"/>
    <w:rsid w:val="00271338"/>
    <w:rsid w:val="0028212A"/>
    <w:rsid w:val="002911A7"/>
    <w:rsid w:val="002935A7"/>
    <w:rsid w:val="002C3966"/>
    <w:rsid w:val="002E5944"/>
    <w:rsid w:val="00312AB7"/>
    <w:rsid w:val="00316539"/>
    <w:rsid w:val="003233F1"/>
    <w:rsid w:val="00346F2B"/>
    <w:rsid w:val="00347F6E"/>
    <w:rsid w:val="00352901"/>
    <w:rsid w:val="00357F6B"/>
    <w:rsid w:val="00363D31"/>
    <w:rsid w:val="003763D1"/>
    <w:rsid w:val="003813FE"/>
    <w:rsid w:val="00383AA7"/>
    <w:rsid w:val="00397BB3"/>
    <w:rsid w:val="003B2D31"/>
    <w:rsid w:val="003B72CE"/>
    <w:rsid w:val="003C5B2C"/>
    <w:rsid w:val="003E0348"/>
    <w:rsid w:val="003E44C8"/>
    <w:rsid w:val="003E6C3E"/>
    <w:rsid w:val="003F1404"/>
    <w:rsid w:val="003F702F"/>
    <w:rsid w:val="00413FE2"/>
    <w:rsid w:val="004229DF"/>
    <w:rsid w:val="004231DE"/>
    <w:rsid w:val="00426222"/>
    <w:rsid w:val="00442D7F"/>
    <w:rsid w:val="00445731"/>
    <w:rsid w:val="00450227"/>
    <w:rsid w:val="00451A76"/>
    <w:rsid w:val="0047735A"/>
    <w:rsid w:val="00480285"/>
    <w:rsid w:val="0049516B"/>
    <w:rsid w:val="004A2F7D"/>
    <w:rsid w:val="004B3AD4"/>
    <w:rsid w:val="004C11C2"/>
    <w:rsid w:val="004D4C65"/>
    <w:rsid w:val="004D653D"/>
    <w:rsid w:val="00505D30"/>
    <w:rsid w:val="00515809"/>
    <w:rsid w:val="00521248"/>
    <w:rsid w:val="00527775"/>
    <w:rsid w:val="005348F4"/>
    <w:rsid w:val="00534C34"/>
    <w:rsid w:val="005353A1"/>
    <w:rsid w:val="00540F2A"/>
    <w:rsid w:val="00541B6D"/>
    <w:rsid w:val="00550578"/>
    <w:rsid w:val="00560585"/>
    <w:rsid w:val="00573876"/>
    <w:rsid w:val="00574549"/>
    <w:rsid w:val="00585A14"/>
    <w:rsid w:val="00594DB5"/>
    <w:rsid w:val="005963FD"/>
    <w:rsid w:val="005A6188"/>
    <w:rsid w:val="005A74A8"/>
    <w:rsid w:val="005C3641"/>
    <w:rsid w:val="005D3B36"/>
    <w:rsid w:val="005E5686"/>
    <w:rsid w:val="005F3A46"/>
    <w:rsid w:val="0060106F"/>
    <w:rsid w:val="00625FDC"/>
    <w:rsid w:val="00677725"/>
    <w:rsid w:val="006958F9"/>
    <w:rsid w:val="006B1A78"/>
    <w:rsid w:val="006B5647"/>
    <w:rsid w:val="006C118A"/>
    <w:rsid w:val="006D09B0"/>
    <w:rsid w:val="006E2EE6"/>
    <w:rsid w:val="006F0B49"/>
    <w:rsid w:val="006F5AA3"/>
    <w:rsid w:val="00711720"/>
    <w:rsid w:val="007479FB"/>
    <w:rsid w:val="007C5293"/>
    <w:rsid w:val="007D772F"/>
    <w:rsid w:val="00817D0A"/>
    <w:rsid w:val="00825165"/>
    <w:rsid w:val="00830EB5"/>
    <w:rsid w:val="00837401"/>
    <w:rsid w:val="0086082E"/>
    <w:rsid w:val="008834B8"/>
    <w:rsid w:val="008B3CF0"/>
    <w:rsid w:val="008B5AD0"/>
    <w:rsid w:val="008C03DD"/>
    <w:rsid w:val="008C3E57"/>
    <w:rsid w:val="008E66CA"/>
    <w:rsid w:val="008F3065"/>
    <w:rsid w:val="00900BAD"/>
    <w:rsid w:val="009166EE"/>
    <w:rsid w:val="00920359"/>
    <w:rsid w:val="00935B11"/>
    <w:rsid w:val="00960332"/>
    <w:rsid w:val="0096712E"/>
    <w:rsid w:val="00971BDD"/>
    <w:rsid w:val="00984D50"/>
    <w:rsid w:val="009A04A7"/>
    <w:rsid w:val="009A6410"/>
    <w:rsid w:val="009C2B96"/>
    <w:rsid w:val="009F1749"/>
    <w:rsid w:val="009F1CF7"/>
    <w:rsid w:val="009F21BA"/>
    <w:rsid w:val="00A0538D"/>
    <w:rsid w:val="00A13A78"/>
    <w:rsid w:val="00A1572D"/>
    <w:rsid w:val="00A354ED"/>
    <w:rsid w:val="00A40215"/>
    <w:rsid w:val="00A50AE2"/>
    <w:rsid w:val="00A60C0C"/>
    <w:rsid w:val="00A66D82"/>
    <w:rsid w:val="00A7149A"/>
    <w:rsid w:val="00A8345F"/>
    <w:rsid w:val="00A83F45"/>
    <w:rsid w:val="00A90D5D"/>
    <w:rsid w:val="00A92BE4"/>
    <w:rsid w:val="00AA3777"/>
    <w:rsid w:val="00AE5AF5"/>
    <w:rsid w:val="00AE6B1B"/>
    <w:rsid w:val="00B0239C"/>
    <w:rsid w:val="00B131A8"/>
    <w:rsid w:val="00B15409"/>
    <w:rsid w:val="00B224EB"/>
    <w:rsid w:val="00B33E44"/>
    <w:rsid w:val="00B34CF5"/>
    <w:rsid w:val="00B652C0"/>
    <w:rsid w:val="00B72BA8"/>
    <w:rsid w:val="00B74062"/>
    <w:rsid w:val="00BD28C6"/>
    <w:rsid w:val="00BD2DDF"/>
    <w:rsid w:val="00BD48E1"/>
    <w:rsid w:val="00BF498E"/>
    <w:rsid w:val="00C0025F"/>
    <w:rsid w:val="00C01ED1"/>
    <w:rsid w:val="00C11C24"/>
    <w:rsid w:val="00C22586"/>
    <w:rsid w:val="00C5560A"/>
    <w:rsid w:val="00C94C09"/>
    <w:rsid w:val="00C967FF"/>
    <w:rsid w:val="00CE1F51"/>
    <w:rsid w:val="00CE4EA1"/>
    <w:rsid w:val="00D1189F"/>
    <w:rsid w:val="00D34485"/>
    <w:rsid w:val="00D37CC0"/>
    <w:rsid w:val="00D52991"/>
    <w:rsid w:val="00D52FD7"/>
    <w:rsid w:val="00D60C62"/>
    <w:rsid w:val="00DA3834"/>
    <w:rsid w:val="00DA4687"/>
    <w:rsid w:val="00DC0ACD"/>
    <w:rsid w:val="00DC1C2F"/>
    <w:rsid w:val="00DC74AC"/>
    <w:rsid w:val="00DD22A7"/>
    <w:rsid w:val="00DD548B"/>
    <w:rsid w:val="00DE15AC"/>
    <w:rsid w:val="00DE3470"/>
    <w:rsid w:val="00E16CA3"/>
    <w:rsid w:val="00E4204D"/>
    <w:rsid w:val="00E730BA"/>
    <w:rsid w:val="00E8260C"/>
    <w:rsid w:val="00E923D4"/>
    <w:rsid w:val="00E942E6"/>
    <w:rsid w:val="00EA68BF"/>
    <w:rsid w:val="00EC5836"/>
    <w:rsid w:val="00ED0DC4"/>
    <w:rsid w:val="00ED3443"/>
    <w:rsid w:val="00ED396D"/>
    <w:rsid w:val="00EE3DCF"/>
    <w:rsid w:val="00EF76DC"/>
    <w:rsid w:val="00F00538"/>
    <w:rsid w:val="00F00CDF"/>
    <w:rsid w:val="00F0388C"/>
    <w:rsid w:val="00F22667"/>
    <w:rsid w:val="00F4017C"/>
    <w:rsid w:val="00F45C75"/>
    <w:rsid w:val="00F60DCF"/>
    <w:rsid w:val="00F6223A"/>
    <w:rsid w:val="00F76356"/>
    <w:rsid w:val="00F84507"/>
    <w:rsid w:val="00FA5848"/>
    <w:rsid w:val="00FB019B"/>
    <w:rsid w:val="00FB5008"/>
    <w:rsid w:val="00FC1298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58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6958F9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967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67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0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538"/>
  </w:style>
  <w:style w:type="paragraph" w:styleId="CommentSubject">
    <w:name w:val="annotation subject"/>
    <w:basedOn w:val="CommentText"/>
    <w:next w:val="CommentText"/>
    <w:link w:val="CommentSubjectChar"/>
    <w:rsid w:val="00F00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5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8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958F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rsid w:val="006958F9"/>
    <w:pPr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96712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6712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0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0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0538"/>
  </w:style>
  <w:style w:type="paragraph" w:styleId="CommentSubject">
    <w:name w:val="annotation subject"/>
    <w:basedOn w:val="CommentText"/>
    <w:next w:val="CommentText"/>
    <w:link w:val="CommentSubjectChar"/>
    <w:rsid w:val="00F00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0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CTB Decision Brief</vt:lpstr>
    </vt:vector>
  </TitlesOfParts>
  <Company>Virginia Department of Transportation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CTB Decision Brief</dc:title>
  <dc:creator>jamie.brownporter</dc:creator>
  <cp:lastModifiedBy>Mathis, Carol A. (VDOT)</cp:lastModifiedBy>
  <cp:revision>2</cp:revision>
  <cp:lastPrinted>2014-01-30T15:48:00Z</cp:lastPrinted>
  <dcterms:created xsi:type="dcterms:W3CDTF">2015-03-02T12:55:00Z</dcterms:created>
  <dcterms:modified xsi:type="dcterms:W3CDTF">2015-03-02T12:55:00Z</dcterms:modified>
</cp:coreProperties>
</file>