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15" w:rsidRDefault="00BD4615">
      <w:pPr>
        <w:pStyle w:val="Heading2"/>
        <w:jc w:val="right"/>
      </w:pPr>
    </w:p>
    <w:p w:rsidR="00BD4615" w:rsidRDefault="00C22617">
      <w:pPr>
        <w:pStyle w:val="Heading2"/>
        <w:jc w:val="right"/>
        <w:rPr>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-1451610</wp:posOffset>
                </wp:positionV>
                <wp:extent cx="389191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919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615" w:rsidRDefault="00BD4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14.3pt;width:306.45pt;height:6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" o:allowincell="f" filled="f" stroked="f">
                <v:textbox>
                  <w:txbxContent>
                    <w:p w:rsidR="00BD4615" w:rsidRDefault="00BD4615"/>
                  </w:txbxContent>
                </v:textbox>
              </v:shape>
            </w:pict>
          </mc:Fallback>
        </mc:AlternateContent>
      </w:r>
      <w:r w:rsidR="00BD4615">
        <w:t xml:space="preserve">Agenda item # </w:t>
      </w:r>
      <w:r w:rsidR="00D23B1D">
        <w:t>7</w:t>
      </w:r>
    </w:p>
    <w:p w:rsidR="00BD4615" w:rsidRDefault="00BD4615">
      <w:pPr>
        <w:jc w:val="center"/>
        <w:rPr>
          <w:b/>
          <w:sz w:val="24"/>
          <w:szCs w:val="24"/>
        </w:rPr>
      </w:pPr>
      <w:r>
        <w:rPr>
          <w:b/>
          <w:sz w:val="24"/>
          <w:szCs w:val="24"/>
        </w:rPr>
        <w:t>RESOLUTION</w:t>
      </w:r>
    </w:p>
    <w:p w:rsidR="00BD4615" w:rsidRDefault="00BD4615">
      <w:pPr>
        <w:jc w:val="center"/>
        <w:rPr>
          <w:b/>
          <w:sz w:val="24"/>
          <w:szCs w:val="24"/>
        </w:rPr>
      </w:pPr>
      <w:r>
        <w:rPr>
          <w:b/>
          <w:sz w:val="24"/>
          <w:szCs w:val="24"/>
        </w:rPr>
        <w:t>OF THE</w:t>
      </w:r>
    </w:p>
    <w:p w:rsidR="00BD4615" w:rsidRDefault="00BD4615">
      <w:pPr>
        <w:jc w:val="center"/>
        <w:rPr>
          <w:b/>
          <w:sz w:val="24"/>
          <w:szCs w:val="24"/>
        </w:rPr>
      </w:pPr>
      <w:r>
        <w:rPr>
          <w:b/>
          <w:sz w:val="24"/>
          <w:szCs w:val="24"/>
        </w:rPr>
        <w:t>COMMONWEALTH TRANSPORTATION BOARD</w:t>
      </w:r>
    </w:p>
    <w:p w:rsidR="00BD4615" w:rsidRDefault="00BD4615">
      <w:pPr>
        <w:jc w:val="center"/>
        <w:rPr>
          <w:sz w:val="24"/>
          <w:szCs w:val="24"/>
        </w:rPr>
      </w:pPr>
    </w:p>
    <w:p w:rsidR="00BD4615" w:rsidRDefault="00137968">
      <w:pPr>
        <w:jc w:val="center"/>
        <w:rPr>
          <w:b/>
          <w:sz w:val="24"/>
          <w:szCs w:val="24"/>
        </w:rPr>
      </w:pPr>
      <w:r>
        <w:rPr>
          <w:b/>
          <w:sz w:val="24"/>
          <w:szCs w:val="24"/>
        </w:rPr>
        <w:t>February 18</w:t>
      </w:r>
      <w:r w:rsidR="00016DCD">
        <w:rPr>
          <w:b/>
          <w:sz w:val="24"/>
          <w:szCs w:val="24"/>
        </w:rPr>
        <w:t>, 201</w:t>
      </w:r>
      <w:r w:rsidR="002A0527">
        <w:rPr>
          <w:b/>
          <w:sz w:val="24"/>
          <w:szCs w:val="24"/>
        </w:rPr>
        <w:t>5</w:t>
      </w:r>
    </w:p>
    <w:p w:rsidR="00BD4615" w:rsidRDefault="00BD4615">
      <w:pPr>
        <w:jc w:val="center"/>
        <w:rPr>
          <w:b/>
          <w:sz w:val="24"/>
          <w:szCs w:val="24"/>
          <w:u w:val="single"/>
        </w:rPr>
      </w:pPr>
    </w:p>
    <w:p w:rsidR="00BD4615" w:rsidRDefault="00BD4615">
      <w:pPr>
        <w:pStyle w:val="Heading3"/>
        <w:rPr>
          <w:szCs w:val="24"/>
        </w:rPr>
      </w:pPr>
      <w:r>
        <w:rPr>
          <w:szCs w:val="24"/>
        </w:rPr>
        <w:t>MOTION</w:t>
      </w:r>
    </w:p>
    <w:p w:rsidR="00BD4615" w:rsidRDefault="00BD4615">
      <w:pPr>
        <w:jc w:val="center"/>
        <w:rPr>
          <w:b/>
          <w:sz w:val="24"/>
          <w:szCs w:val="24"/>
        </w:rPr>
      </w:pPr>
    </w:p>
    <w:p w:rsidR="00BD4615" w:rsidRDefault="00BD4615">
      <w:pPr>
        <w:jc w:val="center"/>
        <w:rPr>
          <w:b/>
          <w:sz w:val="24"/>
          <w:szCs w:val="24"/>
          <w:u w:val="single"/>
        </w:rPr>
      </w:pPr>
      <w:r>
        <w:rPr>
          <w:b/>
          <w:sz w:val="24"/>
          <w:szCs w:val="24"/>
          <w:u w:val="single"/>
        </w:rPr>
        <w:t>Made By:</w:t>
      </w:r>
      <w:r>
        <w:rPr>
          <w:b/>
          <w:sz w:val="24"/>
          <w:szCs w:val="24"/>
          <w:u w:val="single"/>
        </w:rPr>
        <w:fldChar w:fldCharType="begin">
          <w:ffData>
            <w:name w:val="Text3"/>
            <w:enabled/>
            <w:calcOnExit w:val="0"/>
            <w:textInput/>
          </w:ffData>
        </w:fldChar>
      </w:r>
      <w:bookmarkStart w:id="0" w:name="Text3"/>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0"/>
      <w:r>
        <w:rPr>
          <w:b/>
          <w:sz w:val="24"/>
          <w:szCs w:val="24"/>
        </w:rPr>
        <w:tab/>
      </w:r>
      <w:r>
        <w:rPr>
          <w:b/>
          <w:sz w:val="24"/>
          <w:szCs w:val="24"/>
          <w:u w:val="single"/>
        </w:rPr>
        <w:t>Seconded By:</w:t>
      </w:r>
      <w:r>
        <w:rPr>
          <w:b/>
          <w:sz w:val="24"/>
          <w:szCs w:val="24"/>
          <w:u w:val="single"/>
        </w:rPr>
        <w:fldChar w:fldCharType="begin">
          <w:ffData>
            <w:name w:val="Text4"/>
            <w:enabled/>
            <w:calcOnExit w:val="0"/>
            <w:textInput/>
          </w:ffData>
        </w:fldChar>
      </w:r>
      <w:bookmarkStart w:id="1" w:name="Text4"/>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
      <w:r>
        <w:rPr>
          <w:b/>
          <w:sz w:val="24"/>
          <w:szCs w:val="24"/>
        </w:rPr>
        <w:tab/>
      </w:r>
      <w:r>
        <w:rPr>
          <w:b/>
          <w:sz w:val="24"/>
          <w:szCs w:val="24"/>
        </w:rPr>
        <w:tab/>
      </w:r>
      <w:r>
        <w:rPr>
          <w:b/>
          <w:sz w:val="24"/>
          <w:szCs w:val="24"/>
          <w:u w:val="single"/>
        </w:rPr>
        <w:t>Action:</w:t>
      </w:r>
      <w:r>
        <w:rPr>
          <w:b/>
          <w:sz w:val="24"/>
          <w:szCs w:val="24"/>
          <w:u w:val="single"/>
        </w:rPr>
        <w:fldChar w:fldCharType="begin">
          <w:ffData>
            <w:name w:val="Text5"/>
            <w:enabled/>
            <w:calcOnExit w:val="0"/>
            <w:textInput/>
          </w:ffData>
        </w:fldChar>
      </w:r>
      <w:bookmarkStart w:id="2" w:name="Text5"/>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2"/>
    </w:p>
    <w:p w:rsidR="00BD4615" w:rsidRDefault="00BD4615">
      <w:pPr>
        <w:jc w:val="center"/>
        <w:rPr>
          <w:sz w:val="24"/>
          <w:szCs w:val="24"/>
        </w:rPr>
      </w:pPr>
    </w:p>
    <w:p w:rsidR="00BD4615" w:rsidRDefault="00BD4615">
      <w:pPr>
        <w:jc w:val="center"/>
        <w:rPr>
          <w:sz w:val="24"/>
          <w:szCs w:val="24"/>
        </w:rPr>
      </w:pPr>
    </w:p>
    <w:p w:rsidR="00BD4615" w:rsidRDefault="00BD4615">
      <w:pPr>
        <w:jc w:val="center"/>
        <w:rPr>
          <w:b/>
          <w:bCs/>
          <w:sz w:val="24"/>
          <w:u w:val="single"/>
        </w:rPr>
      </w:pPr>
      <w:r>
        <w:rPr>
          <w:b/>
          <w:bCs/>
          <w:sz w:val="24"/>
          <w:u w:val="single"/>
        </w:rPr>
        <w:t>Title:</w:t>
      </w:r>
      <w:r>
        <w:rPr>
          <w:b/>
          <w:bCs/>
          <w:sz w:val="24"/>
          <w:u w:val="single"/>
        </w:rPr>
        <w:tab/>
      </w:r>
      <w:r w:rsidR="000C532E">
        <w:rPr>
          <w:b/>
          <w:bCs/>
          <w:sz w:val="24"/>
          <w:u w:val="single"/>
        </w:rPr>
        <w:t xml:space="preserve">Annual Certification for </w:t>
      </w:r>
      <w:r w:rsidR="005D4F69">
        <w:rPr>
          <w:b/>
          <w:bCs/>
          <w:sz w:val="24"/>
          <w:u w:val="single"/>
        </w:rPr>
        <w:t>Systematic Review of Funding Policy</w:t>
      </w:r>
    </w:p>
    <w:p w:rsidR="00BD4615" w:rsidRDefault="00BD4615">
      <w:pPr>
        <w:jc w:val="center"/>
        <w:rPr>
          <w:b/>
          <w:bCs/>
          <w:sz w:val="24"/>
          <w:u w:val="single"/>
        </w:rPr>
        <w:sectPr w:rsidR="00BD4615">
          <w:headerReference w:type="default" r:id="rId8"/>
          <w:headerReference w:type="first" r:id="rId9"/>
          <w:footerReference w:type="first" r:id="rId10"/>
          <w:pgSz w:w="12240" w:h="15840" w:code="1"/>
          <w:pgMar w:top="1440" w:right="1440" w:bottom="1440" w:left="1440" w:header="720" w:footer="720" w:gutter="0"/>
          <w:cols w:space="720"/>
          <w:titlePg/>
        </w:sectPr>
      </w:pPr>
    </w:p>
    <w:p w:rsidR="00BD4615" w:rsidRDefault="00BD4615">
      <w:pPr>
        <w:jc w:val="center"/>
        <w:rPr>
          <w:b/>
          <w:bCs/>
          <w:sz w:val="24"/>
          <w:u w:val="single"/>
        </w:rPr>
      </w:pPr>
    </w:p>
    <w:p w:rsidR="00BD4615" w:rsidRDefault="00BD4615">
      <w:pPr>
        <w:rPr>
          <w:b/>
          <w:bCs/>
          <w:sz w:val="24"/>
          <w:u w:val="single"/>
        </w:rPr>
        <w:sectPr w:rsidR="00BD4615">
          <w:type w:val="continuous"/>
          <w:pgSz w:w="12240" w:h="15840" w:code="1"/>
          <w:pgMar w:top="1440" w:right="1440" w:bottom="1440" w:left="1440" w:header="720" w:footer="720" w:gutter="0"/>
          <w:cols w:space="720"/>
          <w:formProt w:val="0"/>
          <w:titlePg/>
        </w:sectPr>
      </w:pPr>
    </w:p>
    <w:p w:rsidR="00F67534" w:rsidRPr="0051359F" w:rsidRDefault="005D4F69" w:rsidP="00EE38F4">
      <w:pPr>
        <w:autoSpaceDE w:val="0"/>
        <w:autoSpaceDN w:val="0"/>
        <w:adjustRightInd w:val="0"/>
        <w:ind w:firstLine="720"/>
        <w:rPr>
          <w:sz w:val="24"/>
          <w:szCs w:val="24"/>
        </w:rPr>
      </w:pPr>
      <w:r w:rsidRPr="00F71595">
        <w:rPr>
          <w:b/>
          <w:sz w:val="24"/>
          <w:szCs w:val="24"/>
        </w:rPr>
        <w:lastRenderedPageBreak/>
        <w:t>WHEREAS,</w:t>
      </w:r>
      <w:r w:rsidRPr="0051359F">
        <w:rPr>
          <w:sz w:val="24"/>
          <w:szCs w:val="24"/>
        </w:rPr>
        <w:t xml:space="preserve"> the Commonwealth T</w:t>
      </w:r>
      <w:r w:rsidR="00F71595">
        <w:rPr>
          <w:sz w:val="24"/>
          <w:szCs w:val="24"/>
        </w:rPr>
        <w:t>ransportation Board (CTB) adopted</w:t>
      </w:r>
      <w:r w:rsidRPr="0051359F">
        <w:rPr>
          <w:sz w:val="24"/>
          <w:szCs w:val="24"/>
        </w:rPr>
        <w:t xml:space="preserve"> a resolution on </w:t>
      </w:r>
      <w:r w:rsidR="00F67534" w:rsidRPr="0051359F">
        <w:rPr>
          <w:sz w:val="24"/>
          <w:szCs w:val="24"/>
        </w:rPr>
        <w:t xml:space="preserve">April 19, 2007, requiring the Virginia Department of Transportation (VDOT) and the Department of Rail </w:t>
      </w:r>
      <w:r w:rsidR="00F67534">
        <w:rPr>
          <w:sz w:val="24"/>
          <w:szCs w:val="24"/>
        </w:rPr>
        <w:t>and</w:t>
      </w:r>
      <w:r w:rsidR="00F67534" w:rsidRPr="0051359F">
        <w:rPr>
          <w:sz w:val="24"/>
          <w:szCs w:val="24"/>
        </w:rPr>
        <w:t xml:space="preserve"> Public Transportation (DRPT) to present to the CTB, at its September 2007 meeting recommendations as to how the CTB can ensure that unused funds allocated to VDOT and DRPT are systematically reviewed and reported to the CTB on an annual basis and are either reallocated by the CTB or distributed or reallocated to the locality designated in the original allocation; and</w:t>
      </w:r>
    </w:p>
    <w:p w:rsidR="00F67534" w:rsidRPr="0051359F" w:rsidRDefault="00F67534" w:rsidP="00F67534">
      <w:pPr>
        <w:autoSpaceDE w:val="0"/>
        <w:autoSpaceDN w:val="0"/>
        <w:adjustRightInd w:val="0"/>
        <w:rPr>
          <w:sz w:val="24"/>
          <w:szCs w:val="24"/>
        </w:rPr>
      </w:pPr>
    </w:p>
    <w:p w:rsidR="00F67534" w:rsidRDefault="00F67534" w:rsidP="00EE38F4">
      <w:pPr>
        <w:autoSpaceDE w:val="0"/>
        <w:autoSpaceDN w:val="0"/>
        <w:adjustRightInd w:val="0"/>
        <w:ind w:firstLine="720"/>
        <w:rPr>
          <w:sz w:val="24"/>
          <w:szCs w:val="24"/>
        </w:rPr>
      </w:pPr>
      <w:r w:rsidRPr="00F71595">
        <w:rPr>
          <w:b/>
          <w:sz w:val="24"/>
          <w:szCs w:val="24"/>
        </w:rPr>
        <w:t>WHEREAS</w:t>
      </w:r>
      <w:r w:rsidRPr="0051359F">
        <w:rPr>
          <w:sz w:val="24"/>
          <w:szCs w:val="24"/>
        </w:rPr>
        <w:t>, it was the desire of the Commonwealth Transportation Board to ensure effective utilization of funds available to VDOT and DRPT; and</w:t>
      </w:r>
    </w:p>
    <w:p w:rsidR="00F67534" w:rsidRPr="0051359F" w:rsidRDefault="00F67534" w:rsidP="00F67534">
      <w:pPr>
        <w:autoSpaceDE w:val="0"/>
        <w:autoSpaceDN w:val="0"/>
        <w:adjustRightInd w:val="0"/>
        <w:rPr>
          <w:sz w:val="24"/>
          <w:szCs w:val="24"/>
        </w:rPr>
      </w:pPr>
    </w:p>
    <w:p w:rsidR="00F67534" w:rsidRDefault="00F67534" w:rsidP="00EE38F4">
      <w:pPr>
        <w:autoSpaceDE w:val="0"/>
        <w:autoSpaceDN w:val="0"/>
        <w:adjustRightInd w:val="0"/>
        <w:ind w:firstLine="720"/>
        <w:rPr>
          <w:sz w:val="24"/>
          <w:szCs w:val="24"/>
        </w:rPr>
      </w:pPr>
      <w:r w:rsidRPr="00F67534">
        <w:rPr>
          <w:b/>
          <w:sz w:val="24"/>
          <w:szCs w:val="24"/>
        </w:rPr>
        <w:t>WHEREAS</w:t>
      </w:r>
      <w:r w:rsidRPr="00F67534">
        <w:rPr>
          <w:sz w:val="24"/>
          <w:szCs w:val="24"/>
        </w:rPr>
        <w:t>; on October, 18, 2007, the Commonwealth Transportation Board, by resolution, adopted a policy that required (i) the Chief Financial Officers of VDOT and DRPT to annually certify, within six months of the Commonwealth’s fiscal year end close, that construction project allocations no longer needed for execution of a project had been reallocated by the CTB or distributed or reallocated to the locality designated in the original allocation; (ii) VDOT’s Inspector General to audit the VDOT certification as part of the annual audit plan; and (iii) the Auditor of Public Accounts to be notified of this certification requirement for both VDOT and DRPT, (set forth as attachment A and hereinafter referred to as the “Systematic Review of Funding Policy”); and</w:t>
      </w:r>
    </w:p>
    <w:p w:rsidR="00F67534" w:rsidRDefault="00F67534" w:rsidP="00F67534">
      <w:pPr>
        <w:autoSpaceDE w:val="0"/>
        <w:autoSpaceDN w:val="0"/>
        <w:adjustRightInd w:val="0"/>
        <w:rPr>
          <w:sz w:val="24"/>
          <w:szCs w:val="24"/>
        </w:rPr>
      </w:pPr>
      <w:r>
        <w:rPr>
          <w:sz w:val="24"/>
          <w:szCs w:val="24"/>
        </w:rPr>
        <w:br w:type="page"/>
      </w:r>
      <w:r>
        <w:rPr>
          <w:sz w:val="24"/>
          <w:szCs w:val="24"/>
        </w:rPr>
        <w:lastRenderedPageBreak/>
        <w:t>Resolution of the Board</w:t>
      </w:r>
    </w:p>
    <w:p w:rsidR="00F67534" w:rsidRDefault="00F67534" w:rsidP="00F67534">
      <w:pPr>
        <w:autoSpaceDE w:val="0"/>
        <w:autoSpaceDN w:val="0"/>
        <w:adjustRightInd w:val="0"/>
        <w:rPr>
          <w:sz w:val="24"/>
          <w:szCs w:val="24"/>
        </w:rPr>
      </w:pPr>
      <w:r>
        <w:rPr>
          <w:sz w:val="24"/>
          <w:szCs w:val="24"/>
        </w:rPr>
        <w:t>Update of Systematic Review of Funding Policy</w:t>
      </w:r>
    </w:p>
    <w:p w:rsidR="00F67534" w:rsidRDefault="00137968" w:rsidP="00F67534">
      <w:pPr>
        <w:autoSpaceDE w:val="0"/>
        <w:autoSpaceDN w:val="0"/>
        <w:adjustRightInd w:val="0"/>
        <w:rPr>
          <w:sz w:val="24"/>
          <w:szCs w:val="24"/>
        </w:rPr>
      </w:pPr>
      <w:r>
        <w:rPr>
          <w:sz w:val="24"/>
          <w:szCs w:val="24"/>
        </w:rPr>
        <w:t>February 18</w:t>
      </w:r>
      <w:r w:rsidR="00F67534">
        <w:rPr>
          <w:sz w:val="24"/>
          <w:szCs w:val="24"/>
        </w:rPr>
        <w:t>, 2015</w:t>
      </w:r>
    </w:p>
    <w:p w:rsidR="00F67534" w:rsidRPr="0051359F" w:rsidRDefault="00F67534" w:rsidP="00F67534">
      <w:pPr>
        <w:autoSpaceDE w:val="0"/>
        <w:autoSpaceDN w:val="0"/>
        <w:adjustRightInd w:val="0"/>
        <w:rPr>
          <w:sz w:val="24"/>
          <w:szCs w:val="24"/>
        </w:rPr>
      </w:pPr>
      <w:r>
        <w:rPr>
          <w:sz w:val="24"/>
          <w:szCs w:val="24"/>
        </w:rPr>
        <w:t>Page Two</w:t>
      </w:r>
    </w:p>
    <w:p w:rsidR="00F67534" w:rsidRDefault="00F67534" w:rsidP="005D4F69">
      <w:pPr>
        <w:autoSpaceDE w:val="0"/>
        <w:autoSpaceDN w:val="0"/>
        <w:adjustRightInd w:val="0"/>
        <w:rPr>
          <w:b/>
          <w:sz w:val="24"/>
          <w:szCs w:val="24"/>
        </w:rPr>
      </w:pPr>
    </w:p>
    <w:p w:rsidR="000C532E" w:rsidRDefault="00F67534" w:rsidP="00EE38F4">
      <w:pPr>
        <w:autoSpaceDE w:val="0"/>
        <w:autoSpaceDN w:val="0"/>
        <w:adjustRightInd w:val="0"/>
        <w:ind w:firstLine="720"/>
        <w:rPr>
          <w:sz w:val="24"/>
          <w:szCs w:val="24"/>
        </w:rPr>
      </w:pPr>
      <w:r w:rsidRPr="00F67534">
        <w:rPr>
          <w:b/>
          <w:sz w:val="24"/>
          <w:szCs w:val="24"/>
        </w:rPr>
        <w:t>WHEREAS</w:t>
      </w:r>
      <w:r w:rsidR="00F30D6C">
        <w:rPr>
          <w:b/>
          <w:sz w:val="24"/>
          <w:szCs w:val="24"/>
        </w:rPr>
        <w:t>,</w:t>
      </w:r>
      <w:r>
        <w:rPr>
          <w:sz w:val="24"/>
          <w:szCs w:val="24"/>
        </w:rPr>
        <w:t xml:space="preserve"> on </w:t>
      </w:r>
      <w:r w:rsidR="000C532E">
        <w:rPr>
          <w:sz w:val="24"/>
          <w:szCs w:val="24"/>
        </w:rPr>
        <w:t>December 4, 2013</w:t>
      </w:r>
      <w:r w:rsidR="00F30D6C">
        <w:rPr>
          <w:sz w:val="24"/>
          <w:szCs w:val="24"/>
        </w:rPr>
        <w:t>,</w:t>
      </w:r>
      <w:r w:rsidR="000C532E">
        <w:rPr>
          <w:sz w:val="24"/>
          <w:szCs w:val="24"/>
        </w:rPr>
        <w:t xml:space="preserve"> to amend the requirements relating to annual certification for Systematic Review of Funding Policy, the CTB found the measures and processes implemented by </w:t>
      </w:r>
      <w:r w:rsidR="000C532E" w:rsidRPr="0051359F">
        <w:rPr>
          <w:sz w:val="24"/>
          <w:szCs w:val="24"/>
        </w:rPr>
        <w:t xml:space="preserve">VDOT and DRPT </w:t>
      </w:r>
      <w:r w:rsidR="000C532E">
        <w:rPr>
          <w:sz w:val="24"/>
          <w:szCs w:val="24"/>
        </w:rPr>
        <w:t xml:space="preserve">for systematic project closeout and reallocation of unused funds to be satisfactory, meeting the objectives and purposes </w:t>
      </w:r>
      <w:r w:rsidR="002A0527">
        <w:rPr>
          <w:sz w:val="24"/>
          <w:szCs w:val="24"/>
        </w:rPr>
        <w:t>intended and established by the Systematic Review of Funding Policy</w:t>
      </w:r>
      <w:r w:rsidR="000C532E">
        <w:rPr>
          <w:sz w:val="24"/>
          <w:szCs w:val="24"/>
        </w:rPr>
        <w:t xml:space="preserve">; and  </w:t>
      </w:r>
    </w:p>
    <w:p w:rsidR="000C532E" w:rsidRDefault="000C532E" w:rsidP="005D4F69">
      <w:pPr>
        <w:autoSpaceDE w:val="0"/>
        <w:autoSpaceDN w:val="0"/>
        <w:adjustRightInd w:val="0"/>
        <w:rPr>
          <w:sz w:val="24"/>
          <w:szCs w:val="24"/>
        </w:rPr>
      </w:pPr>
    </w:p>
    <w:p w:rsidR="00F67534" w:rsidRDefault="005D4F69" w:rsidP="00EE38F4">
      <w:pPr>
        <w:autoSpaceDE w:val="0"/>
        <w:autoSpaceDN w:val="0"/>
        <w:adjustRightInd w:val="0"/>
        <w:ind w:firstLine="720"/>
        <w:rPr>
          <w:sz w:val="24"/>
          <w:szCs w:val="24"/>
        </w:rPr>
      </w:pPr>
      <w:r w:rsidRPr="00F71595">
        <w:rPr>
          <w:b/>
          <w:sz w:val="24"/>
          <w:szCs w:val="24"/>
        </w:rPr>
        <w:t>WHEREAS</w:t>
      </w:r>
      <w:r w:rsidRPr="0051359F">
        <w:rPr>
          <w:sz w:val="24"/>
          <w:szCs w:val="24"/>
        </w:rPr>
        <w:t xml:space="preserve">, </w:t>
      </w:r>
      <w:r w:rsidR="000C532E">
        <w:rPr>
          <w:sz w:val="24"/>
          <w:szCs w:val="24"/>
        </w:rPr>
        <w:t>the CTB amended the policy to only require the certification by the Chief of Planning and Programming of VDOT and the Chief Financial Officer of DRPT annually that unused funds are timely reallocated; and</w:t>
      </w:r>
    </w:p>
    <w:p w:rsidR="00F67534" w:rsidRDefault="00F67534" w:rsidP="00F67534">
      <w:pPr>
        <w:autoSpaceDE w:val="0"/>
        <w:autoSpaceDN w:val="0"/>
        <w:adjustRightInd w:val="0"/>
        <w:rPr>
          <w:sz w:val="24"/>
          <w:szCs w:val="24"/>
        </w:rPr>
      </w:pPr>
    </w:p>
    <w:p w:rsidR="005D4F69" w:rsidRPr="0051359F" w:rsidRDefault="005D4F69" w:rsidP="00EE38F4">
      <w:pPr>
        <w:autoSpaceDE w:val="0"/>
        <w:autoSpaceDN w:val="0"/>
        <w:adjustRightInd w:val="0"/>
        <w:ind w:firstLine="720"/>
        <w:rPr>
          <w:sz w:val="24"/>
          <w:szCs w:val="24"/>
        </w:rPr>
      </w:pPr>
      <w:r w:rsidRPr="00F71595">
        <w:rPr>
          <w:b/>
          <w:sz w:val="24"/>
          <w:szCs w:val="24"/>
        </w:rPr>
        <w:t>W</w:t>
      </w:r>
      <w:r w:rsidR="00F71595">
        <w:rPr>
          <w:b/>
          <w:sz w:val="24"/>
          <w:szCs w:val="24"/>
        </w:rPr>
        <w:t>HEREAS</w:t>
      </w:r>
      <w:r w:rsidRPr="0051359F">
        <w:rPr>
          <w:sz w:val="24"/>
          <w:szCs w:val="24"/>
        </w:rPr>
        <w:t xml:space="preserve">, VDOT’s </w:t>
      </w:r>
      <w:r w:rsidR="002A0527" w:rsidRPr="0051359F">
        <w:rPr>
          <w:sz w:val="24"/>
          <w:szCs w:val="24"/>
        </w:rPr>
        <w:t>Chief of Planning and Programming</w:t>
      </w:r>
      <w:r w:rsidR="002A0527">
        <w:rPr>
          <w:sz w:val="24"/>
          <w:szCs w:val="24"/>
        </w:rPr>
        <w:t>’s</w:t>
      </w:r>
      <w:r w:rsidR="002A0527" w:rsidRPr="0051359F">
        <w:rPr>
          <w:sz w:val="24"/>
          <w:szCs w:val="24"/>
        </w:rPr>
        <w:t xml:space="preserve"> </w:t>
      </w:r>
      <w:r w:rsidRPr="0051359F">
        <w:rPr>
          <w:sz w:val="24"/>
          <w:szCs w:val="24"/>
        </w:rPr>
        <w:t xml:space="preserve">responsibility for conducting the annual certification </w:t>
      </w:r>
      <w:r w:rsidR="00244585" w:rsidRPr="0051359F">
        <w:rPr>
          <w:sz w:val="24"/>
          <w:szCs w:val="24"/>
        </w:rPr>
        <w:t xml:space="preserve">is now </w:t>
      </w:r>
      <w:r w:rsidR="004E7C82" w:rsidRPr="0051359F">
        <w:rPr>
          <w:sz w:val="24"/>
          <w:szCs w:val="24"/>
        </w:rPr>
        <w:t>performed by</w:t>
      </w:r>
      <w:r w:rsidR="00244585" w:rsidRPr="0051359F">
        <w:rPr>
          <w:sz w:val="24"/>
          <w:szCs w:val="24"/>
        </w:rPr>
        <w:t xml:space="preserve"> </w:t>
      </w:r>
      <w:r w:rsidRPr="0051359F">
        <w:rPr>
          <w:sz w:val="24"/>
          <w:szCs w:val="24"/>
        </w:rPr>
        <w:t xml:space="preserve">VDOT’s </w:t>
      </w:r>
      <w:r w:rsidR="002A0527" w:rsidRPr="0051359F">
        <w:rPr>
          <w:sz w:val="24"/>
          <w:szCs w:val="24"/>
        </w:rPr>
        <w:t xml:space="preserve">Chief Financial Officer </w:t>
      </w:r>
      <w:r w:rsidR="005B196B" w:rsidRPr="0051359F">
        <w:rPr>
          <w:sz w:val="24"/>
          <w:szCs w:val="24"/>
        </w:rPr>
        <w:t>as a result of organizational changes</w:t>
      </w:r>
      <w:r w:rsidRPr="0051359F">
        <w:rPr>
          <w:sz w:val="24"/>
          <w:szCs w:val="24"/>
        </w:rPr>
        <w:t>;</w:t>
      </w:r>
      <w:r w:rsidR="004E7C82" w:rsidRPr="0051359F">
        <w:rPr>
          <w:sz w:val="24"/>
          <w:szCs w:val="24"/>
        </w:rPr>
        <w:t xml:space="preserve"> and</w:t>
      </w:r>
    </w:p>
    <w:p w:rsidR="005D4F69" w:rsidRPr="0051359F" w:rsidRDefault="005D4F69" w:rsidP="005D4F69">
      <w:pPr>
        <w:autoSpaceDE w:val="0"/>
        <w:autoSpaceDN w:val="0"/>
        <w:adjustRightInd w:val="0"/>
        <w:rPr>
          <w:sz w:val="24"/>
          <w:szCs w:val="24"/>
        </w:rPr>
      </w:pPr>
    </w:p>
    <w:p w:rsidR="005D4F69" w:rsidRPr="0051359F" w:rsidRDefault="005D4F69" w:rsidP="00EE38F4">
      <w:pPr>
        <w:autoSpaceDE w:val="0"/>
        <w:autoSpaceDN w:val="0"/>
        <w:adjustRightInd w:val="0"/>
        <w:ind w:firstLine="720"/>
        <w:rPr>
          <w:sz w:val="24"/>
          <w:szCs w:val="24"/>
        </w:rPr>
      </w:pPr>
      <w:r w:rsidRPr="00F71595">
        <w:rPr>
          <w:b/>
          <w:sz w:val="24"/>
          <w:szCs w:val="24"/>
        </w:rPr>
        <w:t>NOW, THEREFORE, BE IT RESOLVED</w:t>
      </w:r>
      <w:r w:rsidRPr="0051359F">
        <w:rPr>
          <w:sz w:val="24"/>
          <w:szCs w:val="24"/>
        </w:rPr>
        <w:t xml:space="preserve">, that </w:t>
      </w:r>
      <w:r w:rsidR="002A0527">
        <w:rPr>
          <w:sz w:val="24"/>
          <w:szCs w:val="24"/>
        </w:rPr>
        <w:t xml:space="preserve">the </w:t>
      </w:r>
      <w:r w:rsidRPr="0051359F">
        <w:rPr>
          <w:sz w:val="24"/>
          <w:szCs w:val="24"/>
        </w:rPr>
        <w:t xml:space="preserve">Commonwealth Transportation Board </w:t>
      </w:r>
      <w:r w:rsidR="002A0527">
        <w:rPr>
          <w:sz w:val="24"/>
          <w:szCs w:val="24"/>
        </w:rPr>
        <w:t>requires certification by the Chief Financial Officers of VDOT and DRPT annually that unused funds are timely reallocated.</w:t>
      </w:r>
    </w:p>
    <w:p w:rsidR="004E44C3" w:rsidRPr="0051359F" w:rsidRDefault="004E44C3" w:rsidP="005D4F69">
      <w:pPr>
        <w:autoSpaceDE w:val="0"/>
        <w:autoSpaceDN w:val="0"/>
        <w:adjustRightInd w:val="0"/>
        <w:rPr>
          <w:sz w:val="24"/>
          <w:szCs w:val="24"/>
        </w:rPr>
      </w:pPr>
    </w:p>
    <w:p w:rsidR="00BD4615" w:rsidRDefault="00C66C2F">
      <w:pPr>
        <w:jc w:val="center"/>
        <w:rPr>
          <w:sz w:val="24"/>
        </w:rPr>
      </w:pPr>
      <w:hyperlink r:id="rId11" w:history="1">
        <w:r w:rsidR="00F30D6C" w:rsidRPr="00C66C2F">
          <w:rPr>
            <w:rStyle w:val="Hyperlink"/>
            <w:sz w:val="24"/>
          </w:rPr>
          <w:t>####</w:t>
        </w:r>
      </w:hyperlink>
      <w:bookmarkStart w:id="3" w:name="_GoBack"/>
      <w:bookmarkEnd w:id="3"/>
    </w:p>
    <w:sectPr w:rsidR="00BD4615">
      <w:headerReference w:type="default" r:id="rId12"/>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31" w:rsidRDefault="00CD4B31">
      <w:r>
        <w:separator/>
      </w:r>
    </w:p>
  </w:endnote>
  <w:endnote w:type="continuationSeparator" w:id="0">
    <w:p w:rsidR="00CD4B31" w:rsidRDefault="00CD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15" w:rsidRDefault="00BD46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31" w:rsidRDefault="00CD4B31">
      <w:r>
        <w:separator/>
      </w:r>
    </w:p>
  </w:footnote>
  <w:footnote w:type="continuationSeparator" w:id="0">
    <w:p w:rsidR="00CD4B31" w:rsidRDefault="00CD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15" w:rsidRDefault="00BD4615">
    <w:pPr>
      <w:pStyle w:val="Header"/>
      <w:tabs>
        <w:tab w:val="clear" w:pos="4320"/>
        <w:tab w:val="clear" w:pos="8640"/>
      </w:tabs>
      <w:rPr>
        <w:rFonts w:ascii="Arial" w:hAnsi="Arial"/>
        <w:sz w:val="16"/>
      </w:rPr>
    </w:pPr>
  </w:p>
  <w:p w:rsidR="00BD4615" w:rsidRDefault="00BD4615">
    <w:pPr>
      <w:pStyle w:val="Header"/>
      <w:tabs>
        <w:tab w:val="clear" w:pos="4320"/>
        <w:tab w:val="clear" w:pos="8640"/>
      </w:tabs>
      <w:rPr>
        <w:rFonts w:ascii="Arial" w:hAnsi="Arial"/>
        <w:sz w:val="16"/>
      </w:rPr>
    </w:pPr>
  </w:p>
  <w:p w:rsidR="00BD4615" w:rsidRDefault="00BD4615">
    <w:pPr>
      <w:pStyle w:val="Header"/>
      <w:tabs>
        <w:tab w:val="clear" w:pos="4320"/>
        <w:tab w:val="clear" w:pos="8640"/>
      </w:tabs>
      <w:rPr>
        <w:rFonts w:ascii="Arial" w:hAnsi="Arial"/>
        <w:sz w:val="16"/>
      </w:rPr>
    </w:pPr>
  </w:p>
  <w:p w:rsidR="00BD4615" w:rsidRDefault="00BD4615">
    <w:pPr>
      <w:pStyle w:val="Header"/>
      <w:tabs>
        <w:tab w:val="clear" w:pos="4320"/>
        <w:tab w:val="clear" w:pos="8640"/>
      </w:tabs>
      <w:rPr>
        <w:sz w:val="24"/>
      </w:rPr>
    </w:pPr>
    <w:r>
      <w:rPr>
        <w:sz w:val="24"/>
      </w:rPr>
      <w:t>Resolution of the Board</w:t>
    </w:r>
  </w:p>
  <w:p w:rsidR="00BD4615" w:rsidRDefault="00BD4615">
    <w:pPr>
      <w:pStyle w:val="Header"/>
      <w:tabs>
        <w:tab w:val="clear" w:pos="4320"/>
        <w:tab w:val="clear" w:pos="8640"/>
      </w:tabs>
      <w:rPr>
        <w:sz w:val="24"/>
      </w:rPr>
    </w:pPr>
    <w:r>
      <w:rPr>
        <w:sz w:val="24"/>
      </w:rPr>
      <w:t>Subdivision Street Requirements Revisions</w:t>
    </w:r>
  </w:p>
  <w:p w:rsidR="00BD4615" w:rsidRDefault="00BD4615">
    <w:pPr>
      <w:pStyle w:val="Header"/>
      <w:tabs>
        <w:tab w:val="clear" w:pos="4320"/>
        <w:tab w:val="clear" w:pos="8640"/>
      </w:tabs>
      <w:rPr>
        <w:sz w:val="24"/>
      </w:rPr>
    </w:pPr>
    <w:r>
      <w:rPr>
        <w:sz w:val="24"/>
      </w:rPr>
      <w:t>September 16, 2004</w:t>
    </w:r>
  </w:p>
  <w:p w:rsidR="00BD4615" w:rsidRDefault="00BD4615">
    <w:pPr>
      <w:pStyle w:val="Header"/>
      <w:tabs>
        <w:tab w:val="clear" w:pos="4320"/>
        <w:tab w:val="clear" w:pos="8640"/>
      </w:tabs>
      <w:rPr>
        <w:rFonts w:ascii="Arial" w:hAnsi="Arial"/>
        <w:sz w:val="16"/>
      </w:rPr>
    </w:pPr>
    <w:r>
      <w:rPr>
        <w:sz w:val="24"/>
      </w:rPr>
      <w:t>Page Two</w:t>
    </w:r>
    <w:r>
      <w:rPr>
        <w:rFonts w:ascii="Arial" w:hAnsi="Arial"/>
        <w:sz w:val="16"/>
      </w:rPr>
      <w:t xml:space="preserve"> </w:t>
    </w:r>
  </w:p>
  <w:p w:rsidR="00BD4615" w:rsidRDefault="00BD4615">
    <w:pPr>
      <w:pStyle w:val="Header"/>
      <w:tabs>
        <w:tab w:val="clear" w:pos="4320"/>
        <w:tab w:val="clear" w:pos="8640"/>
      </w:tabs>
      <w:rPr>
        <w:rFonts w:ascii="Arial" w:hAnsi="Arial"/>
        <w:sz w:val="16"/>
      </w:rPr>
    </w:pPr>
    <w:r>
      <w:rPr>
        <w:rFonts w:ascii="Arial" w:hAnsi="Arial"/>
        <w:sz w:val="16"/>
      </w:rPr>
      <w:t>______________________________________________</w:t>
    </w:r>
  </w:p>
  <w:p w:rsidR="00BD4615" w:rsidRDefault="00BD4615">
    <w:pPr>
      <w:pStyle w:val="Header"/>
      <w:tabs>
        <w:tab w:val="clear" w:pos="4320"/>
        <w:tab w:val="clear" w:pos="8640"/>
      </w:tabs>
      <w:rPr>
        <w:rFonts w:ascii="Arial" w:hAnsi="Arial"/>
        <w:sz w:val="16"/>
      </w:rPr>
    </w:pPr>
  </w:p>
  <w:p w:rsidR="00BD4615" w:rsidRDefault="00BD4615">
    <w:pPr>
      <w:pStyle w:val="Header"/>
      <w:tabs>
        <w:tab w:val="clear" w:pos="4320"/>
        <w:tab w:val="clear" w:pos="8640"/>
      </w:tabs>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21" w:rsidRDefault="00C22617" w:rsidP="00D95221">
    <w:pPr>
      <w:jc w:val="center"/>
      <w:rPr>
        <w:b/>
        <w:bCs/>
        <w:sz w:val="2"/>
        <w:szCs w:val="2"/>
      </w:rPr>
    </w:pPr>
    <w:r>
      <w:rPr>
        <w:b/>
        <w:bCs/>
        <w:noProof/>
        <w:sz w:val="2"/>
        <w:szCs w:val="2"/>
      </w:rPr>
      <w:drawing>
        <wp:inline distT="0" distB="0" distL="0" distR="0">
          <wp:extent cx="838200" cy="838200"/>
          <wp:effectExtent l="0" t="0" r="0" b="0"/>
          <wp:docPr id="1"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D95221" w:rsidRDefault="00D95221" w:rsidP="00D95221">
    <w:pPr>
      <w:jc w:val="center"/>
      <w:rPr>
        <w:b/>
        <w:bCs/>
        <w:sz w:val="2"/>
        <w:szCs w:val="2"/>
      </w:rPr>
    </w:pPr>
  </w:p>
  <w:p w:rsidR="00D95221" w:rsidRDefault="00D95221" w:rsidP="00D95221">
    <w:pPr>
      <w:rPr>
        <w:b/>
        <w:bCs/>
        <w:sz w:val="2"/>
        <w:szCs w:val="2"/>
      </w:rPr>
    </w:pPr>
  </w:p>
  <w:p w:rsidR="00D95221" w:rsidRDefault="00D95221" w:rsidP="00D95221">
    <w:pPr>
      <w:jc w:val="center"/>
      <w:rPr>
        <w:b/>
        <w:bCs/>
        <w:sz w:val="2"/>
        <w:szCs w:val="2"/>
      </w:rPr>
    </w:pPr>
  </w:p>
  <w:p w:rsidR="00D95221" w:rsidRDefault="00D95221" w:rsidP="00D95221">
    <w:pPr>
      <w:jc w:val="center"/>
      <w:rPr>
        <w:b/>
        <w:bCs/>
        <w:sz w:val="2"/>
        <w:szCs w:val="2"/>
      </w:rPr>
    </w:pPr>
  </w:p>
  <w:p w:rsidR="00D95221" w:rsidRDefault="00D95221" w:rsidP="00D95221">
    <w:pPr>
      <w:pStyle w:val="Header"/>
      <w:jc w:val="center"/>
      <w:rPr>
        <w:b/>
        <w:bCs/>
        <w:sz w:val="2"/>
        <w:szCs w:val="2"/>
      </w:rPr>
    </w:pPr>
  </w:p>
  <w:p w:rsidR="00D95221" w:rsidRDefault="00D95221" w:rsidP="00D95221">
    <w:pPr>
      <w:pStyle w:val="Header"/>
      <w:jc w:val="center"/>
      <w:rPr>
        <w:b/>
        <w:bCs/>
        <w:sz w:val="2"/>
        <w:szCs w:val="2"/>
      </w:rPr>
    </w:pPr>
  </w:p>
  <w:p w:rsidR="00D95221" w:rsidRDefault="00D95221" w:rsidP="00D95221">
    <w:pPr>
      <w:pStyle w:val="Header"/>
      <w:jc w:val="center"/>
      <w:rPr>
        <w:b/>
        <w:bCs/>
        <w:sz w:val="2"/>
        <w:szCs w:val="2"/>
      </w:rPr>
    </w:pPr>
  </w:p>
  <w:p w:rsidR="00D95221" w:rsidRDefault="00D95221" w:rsidP="00D95221">
    <w:pPr>
      <w:pStyle w:val="Header"/>
      <w:jc w:val="center"/>
      <w:rPr>
        <w:b/>
        <w:bCs/>
        <w:sz w:val="2"/>
        <w:szCs w:val="2"/>
      </w:rPr>
    </w:pPr>
  </w:p>
  <w:p w:rsidR="00D95221" w:rsidRDefault="00D95221" w:rsidP="00D95221">
    <w:pPr>
      <w:pStyle w:val="Header"/>
      <w:jc w:val="center"/>
      <w:rPr>
        <w:rFonts w:ascii="Monotype Corsiva" w:hAnsi="Monotype Corsiva"/>
        <w:bCs/>
        <w:color w:val="4D6BC6"/>
        <w:sz w:val="34"/>
      </w:rPr>
    </w:pPr>
    <w:r>
      <w:rPr>
        <w:b/>
        <w:bCs/>
        <w:sz w:val="2"/>
        <w:szCs w:val="2"/>
      </w:rPr>
      <w:t xml:space="preserve">             </w:t>
    </w:r>
    <w:r w:rsidR="00C22617">
      <w:rPr>
        <w:b/>
        <w:bCs/>
        <w:noProof/>
        <w:sz w:val="2"/>
        <w:szCs w:val="2"/>
      </w:rPr>
      <w:drawing>
        <wp:inline distT="0" distB="0" distL="0" distR="0">
          <wp:extent cx="3248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8025" cy="209550"/>
                  </a:xfrm>
                  <a:prstGeom prst="rect">
                    <a:avLst/>
                  </a:prstGeom>
                  <a:noFill/>
                  <a:ln>
                    <a:noFill/>
                  </a:ln>
                </pic:spPr>
              </pic:pic>
            </a:graphicData>
          </a:graphic>
        </wp:inline>
      </w:drawing>
    </w:r>
  </w:p>
  <w:p w:rsidR="00D95221" w:rsidRDefault="00D95221" w:rsidP="00D95221">
    <w:pPr>
      <w:pStyle w:val="Header"/>
      <w:jc w:val="center"/>
      <w:rPr>
        <w:rFonts w:ascii="Monotype Corsiva" w:hAnsi="Monotype Corsiva"/>
        <w:bCs/>
        <w:color w:val="4D6BC6"/>
        <w:sz w:val="16"/>
      </w:rPr>
    </w:pPr>
  </w:p>
  <w:p w:rsidR="00D95221" w:rsidRDefault="00D95221" w:rsidP="00D95221">
    <w:pPr>
      <w:pStyle w:val="Header"/>
      <w:jc w:val="center"/>
      <w:rPr>
        <w:rFonts w:ascii="Monotype Corsiva" w:hAnsi="Monotype Corsiva"/>
        <w:bCs/>
        <w:color w:val="4D6BC6"/>
        <w:sz w:val="34"/>
      </w:rPr>
    </w:pPr>
    <w:r>
      <w:rPr>
        <w:rFonts w:ascii="Monotype Corsiva" w:hAnsi="Monotype Corsiva"/>
        <w:bCs/>
        <w:color w:val="4D6BC6"/>
        <w:sz w:val="34"/>
      </w:rPr>
      <w:t>Commonwealth Transportation Board</w:t>
    </w:r>
  </w:p>
  <w:p w:rsidR="00D95221" w:rsidRDefault="008527C7" w:rsidP="00D95221">
    <w:pPr>
      <w:pStyle w:val="Header"/>
      <w:tabs>
        <w:tab w:val="clear" w:pos="8640"/>
      </w:tabs>
      <w:rPr>
        <w:rFonts w:ascii="Goudy Old Style" w:hAnsi="Goudy Old Style"/>
        <w:bCs/>
        <w:color w:val="4D6BC6"/>
        <w:sz w:val="18"/>
      </w:rPr>
    </w:pPr>
    <w:r>
      <w:rPr>
        <w:rFonts w:ascii="Goudy Old Style" w:hAnsi="Goudy Old Style"/>
        <w:bCs/>
        <w:color w:val="4D6BC6"/>
        <w:sz w:val="18"/>
      </w:rPr>
      <w:t>Aubrey L. Layne, Jr.</w:t>
    </w:r>
    <w:r w:rsidR="00D95221">
      <w:rPr>
        <w:rFonts w:ascii="Goudy Old Style" w:hAnsi="Goudy Old Style"/>
        <w:bCs/>
        <w:color w:val="4D6BC6"/>
        <w:sz w:val="18"/>
      </w:rPr>
      <w:tab/>
      <w:t xml:space="preserve">                   1401 East Broad Street </w:t>
    </w:r>
    <w:r w:rsidR="00D95221">
      <w:rPr>
        <w:rFonts w:ascii="Goudy Old Style" w:hAnsi="Goudy Old Style"/>
        <w:bCs/>
        <w:color w:val="4D6BC6"/>
        <w:sz w:val="18"/>
      </w:rPr>
      <w:tab/>
      <w:t xml:space="preserve">       </w:t>
    </w:r>
    <w:r w:rsidR="00D95221">
      <w:rPr>
        <w:rFonts w:ascii="Goudy Old Style" w:hAnsi="Goudy Old Style"/>
        <w:bCs/>
        <w:color w:val="4D6BC6"/>
        <w:sz w:val="18"/>
      </w:rPr>
      <w:tab/>
    </w:r>
    <w:r w:rsidR="00D95221">
      <w:rPr>
        <w:rFonts w:ascii="Goudy Old Style" w:hAnsi="Goudy Old Style"/>
        <w:bCs/>
        <w:color w:val="4D6BC6"/>
        <w:sz w:val="18"/>
      </w:rPr>
      <w:tab/>
    </w:r>
    <w:r w:rsidR="00D95221">
      <w:rPr>
        <w:rFonts w:ascii="Goudy Old Style" w:hAnsi="Goudy Old Style"/>
        <w:bCs/>
        <w:color w:val="4D6BC6"/>
        <w:sz w:val="18"/>
      </w:rPr>
      <w:tab/>
      <w:t xml:space="preserve">       (804) 786-2701</w:t>
    </w:r>
  </w:p>
  <w:p w:rsidR="00D95221" w:rsidRDefault="00D95221" w:rsidP="00D95221">
    <w:pPr>
      <w:pStyle w:val="Header"/>
      <w:tabs>
        <w:tab w:val="left" w:pos="8280"/>
      </w:tabs>
      <w:rPr>
        <w:rFonts w:ascii="Goudy Old Style" w:hAnsi="Goudy Old Style"/>
        <w:bCs/>
        <w:color w:val="4D6BC6"/>
        <w:sz w:val="18"/>
      </w:rPr>
    </w:pPr>
    <w:r>
      <w:rPr>
        <w:rFonts w:ascii="Goudy Old Style" w:hAnsi="Goudy Old Style"/>
        <w:bCs/>
        <w:color w:val="4D6BC6"/>
        <w:sz w:val="18"/>
      </w:rPr>
      <w:t xml:space="preserve">     Chairman</w:t>
    </w:r>
    <w:r>
      <w:rPr>
        <w:rFonts w:ascii="Goudy Old Style" w:hAnsi="Goudy Old Style"/>
        <w:bCs/>
        <w:color w:val="4D6BC6"/>
        <w:sz w:val="18"/>
      </w:rPr>
      <w:tab/>
      <w:t xml:space="preserve">                                                                 </w:t>
    </w:r>
    <w:smartTag w:uri="urn:schemas-microsoft-com:office:smarttags" w:element="place">
      <w:smartTag w:uri="urn:schemas-microsoft-com:office:smarttags" w:element="City">
        <w:r>
          <w:rPr>
            <w:rFonts w:ascii="Goudy Old Style" w:hAnsi="Goudy Old Style"/>
            <w:bCs/>
            <w:color w:val="4D6BC6"/>
            <w:sz w:val="18"/>
          </w:rPr>
          <w:t>Richmond</w:t>
        </w:r>
      </w:smartTag>
      <w:r>
        <w:rPr>
          <w:rFonts w:ascii="Goudy Old Style" w:hAnsi="Goudy Old Style"/>
          <w:bCs/>
          <w:color w:val="4D6BC6"/>
          <w:sz w:val="18"/>
        </w:rPr>
        <w:t xml:space="preserve">, </w:t>
      </w:r>
      <w:smartTag w:uri="urn:schemas-microsoft-com:office:smarttags" w:element="State">
        <w:r>
          <w:rPr>
            <w:rFonts w:ascii="Goudy Old Style" w:hAnsi="Goudy Old Style"/>
            <w:bCs/>
            <w:color w:val="4D6BC6"/>
            <w:sz w:val="18"/>
          </w:rPr>
          <w:t>Virginia</w:t>
        </w:r>
      </w:smartTag>
      <w:r>
        <w:rPr>
          <w:rFonts w:ascii="Goudy Old Style" w:hAnsi="Goudy Old Style"/>
          <w:bCs/>
          <w:color w:val="4D6BC6"/>
          <w:sz w:val="18"/>
        </w:rPr>
        <w:t xml:space="preserve"> </w:t>
      </w:r>
      <w:smartTag w:uri="urn:schemas-microsoft-com:office:smarttags" w:element="PostalCode">
        <w:r>
          <w:rPr>
            <w:rFonts w:ascii="Goudy Old Style" w:hAnsi="Goudy Old Style"/>
            <w:bCs/>
            <w:color w:val="4D6BC6"/>
            <w:sz w:val="18"/>
          </w:rPr>
          <w:t>23219</w:t>
        </w:r>
      </w:smartTag>
    </w:smartTag>
    <w:r>
      <w:rPr>
        <w:rFonts w:ascii="Goudy Old Style" w:hAnsi="Goudy Old Style"/>
        <w:bCs/>
        <w:color w:val="4D6BC6"/>
        <w:sz w:val="18"/>
      </w:rPr>
      <w:t xml:space="preserve">                                               Fax: (804) 786-2940</w:t>
    </w:r>
  </w:p>
  <w:p w:rsidR="00D95221" w:rsidRDefault="00D95221" w:rsidP="00D95221">
    <w:pPr>
      <w:pStyle w:val="Header"/>
      <w:tabs>
        <w:tab w:val="left" w:pos="8280"/>
      </w:tabs>
    </w:pPr>
    <w:r>
      <w:rPr>
        <w:rFonts w:ascii="Goudy Old Style" w:hAnsi="Goudy Old Style"/>
        <w:bCs/>
        <w:color w:val="4D6BC6"/>
        <w:sz w:val="18"/>
      </w:rPr>
      <w:tab/>
      <w:t xml:space="preserve">       </w:t>
    </w:r>
  </w:p>
  <w:p w:rsidR="00BD4615" w:rsidRPr="00D95221" w:rsidRDefault="00BD4615" w:rsidP="00D95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15" w:rsidRDefault="00BD461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EF"/>
    <w:multiLevelType w:val="singleLevel"/>
    <w:tmpl w:val="D294F6F4"/>
    <w:lvl w:ilvl="0">
      <w:start w:val="3"/>
      <w:numFmt w:val="decimal"/>
      <w:lvlText w:val="%1."/>
      <w:legacy w:legacy="1" w:legacySpace="0" w:legacyIndent="360"/>
      <w:lvlJc w:val="left"/>
      <w:pPr>
        <w:ind w:left="1080" w:hanging="360"/>
      </w:pPr>
    </w:lvl>
  </w:abstractNum>
  <w:abstractNum w:abstractNumId="1">
    <w:nsid w:val="0DD143DF"/>
    <w:multiLevelType w:val="multilevel"/>
    <w:tmpl w:val="E48C4C3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5F62F5"/>
    <w:multiLevelType w:val="singleLevel"/>
    <w:tmpl w:val="D1902860"/>
    <w:lvl w:ilvl="0">
      <w:start w:val="1"/>
      <w:numFmt w:val="decimal"/>
      <w:lvlText w:val="%1."/>
      <w:lvlJc w:val="left"/>
      <w:pPr>
        <w:tabs>
          <w:tab w:val="num" w:pos="1440"/>
        </w:tabs>
        <w:ind w:left="1440" w:hanging="720"/>
      </w:pPr>
    </w:lvl>
  </w:abstractNum>
  <w:abstractNum w:abstractNumId="3">
    <w:nsid w:val="2F04797B"/>
    <w:multiLevelType w:val="singleLevel"/>
    <w:tmpl w:val="68BC7290"/>
    <w:lvl w:ilvl="0">
      <w:start w:val="1"/>
      <w:numFmt w:val="lowerLetter"/>
      <w:lvlText w:val="%1."/>
      <w:lvlJc w:val="left"/>
      <w:pPr>
        <w:tabs>
          <w:tab w:val="num" w:pos="1800"/>
        </w:tabs>
        <w:ind w:left="1800" w:hanging="360"/>
      </w:pPr>
      <w:rPr>
        <w:rFonts w:hint="default"/>
      </w:rPr>
    </w:lvl>
  </w:abstractNum>
  <w:abstractNum w:abstractNumId="4">
    <w:nsid w:val="325E0829"/>
    <w:multiLevelType w:val="multilevel"/>
    <w:tmpl w:val="212E65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50106B9"/>
    <w:multiLevelType w:val="multilevel"/>
    <w:tmpl w:val="C8A06094"/>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AD4623B"/>
    <w:multiLevelType w:val="multilevel"/>
    <w:tmpl w:val="346A54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BD260E8"/>
    <w:multiLevelType w:val="multilevel"/>
    <w:tmpl w:val="C8A06094"/>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72F07BF"/>
    <w:multiLevelType w:val="multilevel"/>
    <w:tmpl w:val="9280D8BC"/>
    <w:lvl w:ilvl="0">
      <w:start w:val="1"/>
      <w:numFmt w:val="decimal"/>
      <w:lvlText w:val="%1."/>
      <w:lvlJc w:val="left"/>
      <w:pPr>
        <w:tabs>
          <w:tab w:val="num" w:pos="1080"/>
        </w:tabs>
        <w:ind w:left="1080" w:hanging="360"/>
      </w:pPr>
    </w:lvl>
    <w:lvl w:ilvl="1">
      <w:start w:val="1"/>
      <w:numFmt w:val="lowerLetter"/>
      <w:lvlText w:val="%2."/>
      <w:lvlJc w:val="left"/>
      <w:pPr>
        <w:tabs>
          <w:tab w:val="num" w:pos="1728"/>
        </w:tabs>
        <w:ind w:left="1728" w:hanging="648"/>
      </w:pPr>
    </w:lvl>
    <w:lvl w:ilvl="2">
      <w:start w:val="1"/>
      <w:numFmt w:val="low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1"/>
    <w:rsid w:val="00016DCD"/>
    <w:rsid w:val="0008579D"/>
    <w:rsid w:val="00092F58"/>
    <w:rsid w:val="000C532E"/>
    <w:rsid w:val="00100181"/>
    <w:rsid w:val="00114071"/>
    <w:rsid w:val="00137968"/>
    <w:rsid w:val="001508D3"/>
    <w:rsid w:val="0023720F"/>
    <w:rsid w:val="00244585"/>
    <w:rsid w:val="002A0527"/>
    <w:rsid w:val="002A1865"/>
    <w:rsid w:val="002C68A8"/>
    <w:rsid w:val="002F1996"/>
    <w:rsid w:val="00321E93"/>
    <w:rsid w:val="00331A95"/>
    <w:rsid w:val="003B7E07"/>
    <w:rsid w:val="004076B9"/>
    <w:rsid w:val="004907D5"/>
    <w:rsid w:val="004E44C3"/>
    <w:rsid w:val="004E7C82"/>
    <w:rsid w:val="004E7E0B"/>
    <w:rsid w:val="004F2EB2"/>
    <w:rsid w:val="0051359F"/>
    <w:rsid w:val="005B196B"/>
    <w:rsid w:val="005B709B"/>
    <w:rsid w:val="005D18C6"/>
    <w:rsid w:val="005D4F69"/>
    <w:rsid w:val="005D7882"/>
    <w:rsid w:val="006565A6"/>
    <w:rsid w:val="006627A4"/>
    <w:rsid w:val="00683395"/>
    <w:rsid w:val="00686654"/>
    <w:rsid w:val="00700866"/>
    <w:rsid w:val="00831AF5"/>
    <w:rsid w:val="008527C7"/>
    <w:rsid w:val="008E19AC"/>
    <w:rsid w:val="00950841"/>
    <w:rsid w:val="00970670"/>
    <w:rsid w:val="00984BAC"/>
    <w:rsid w:val="00A14717"/>
    <w:rsid w:val="00A50558"/>
    <w:rsid w:val="00AB2FAA"/>
    <w:rsid w:val="00B11222"/>
    <w:rsid w:val="00B30A72"/>
    <w:rsid w:val="00B808BB"/>
    <w:rsid w:val="00B96A74"/>
    <w:rsid w:val="00BB6E9A"/>
    <w:rsid w:val="00BD4615"/>
    <w:rsid w:val="00BE24DD"/>
    <w:rsid w:val="00C16384"/>
    <w:rsid w:val="00C22617"/>
    <w:rsid w:val="00C419F7"/>
    <w:rsid w:val="00C4263F"/>
    <w:rsid w:val="00C66C2F"/>
    <w:rsid w:val="00CA48AA"/>
    <w:rsid w:val="00CC69F4"/>
    <w:rsid w:val="00CD4B31"/>
    <w:rsid w:val="00CF196F"/>
    <w:rsid w:val="00D23B1D"/>
    <w:rsid w:val="00D33EC3"/>
    <w:rsid w:val="00D551BB"/>
    <w:rsid w:val="00D71C0D"/>
    <w:rsid w:val="00D95221"/>
    <w:rsid w:val="00DB0506"/>
    <w:rsid w:val="00E11172"/>
    <w:rsid w:val="00E16BC8"/>
    <w:rsid w:val="00E26510"/>
    <w:rsid w:val="00E47815"/>
    <w:rsid w:val="00EC701C"/>
    <w:rsid w:val="00EE38F4"/>
    <w:rsid w:val="00EF7DD4"/>
    <w:rsid w:val="00F2487C"/>
    <w:rsid w:val="00F30D6C"/>
    <w:rsid w:val="00F67534"/>
    <w:rsid w:val="00F71595"/>
    <w:rsid w:val="00FA0B92"/>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after="240"/>
      <w:outlineLvl w:val="1"/>
    </w:pPr>
    <w:rPr>
      <w:b/>
      <w:i/>
      <w:sz w:val="1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qFormat/>
    <w:pPr>
      <w:keepNext/>
      <w:tabs>
        <w:tab w:val="left" w:pos="720"/>
        <w:tab w:val="center" w:pos="4500"/>
      </w:tabs>
      <w:ind w:firstLine="720"/>
      <w:outlineLvl w:val="5"/>
    </w:pPr>
    <w:rPr>
      <w:b/>
      <w:sz w:val="24"/>
    </w:rPr>
  </w:style>
  <w:style w:type="paragraph" w:styleId="Heading7">
    <w:name w:val="heading 7"/>
    <w:basedOn w:val="Normal"/>
    <w:next w:val="Normal"/>
    <w:qFormat/>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CG Times (W1)" w:hAnsi="CG Times (W1)"/>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basedOn w:val="DefaultParagraphFont"/>
    <w:link w:val="Header"/>
    <w:uiPriority w:val="99"/>
    <w:rsid w:val="00D95221"/>
  </w:style>
  <w:style w:type="paragraph" w:styleId="BalloonText">
    <w:name w:val="Balloon Text"/>
    <w:basedOn w:val="Normal"/>
    <w:link w:val="BalloonTextChar"/>
    <w:uiPriority w:val="99"/>
    <w:semiHidden/>
    <w:unhideWhenUsed/>
    <w:rsid w:val="004E7C82"/>
    <w:rPr>
      <w:rFonts w:ascii="Tahoma" w:hAnsi="Tahoma" w:cs="Tahoma"/>
      <w:sz w:val="16"/>
      <w:szCs w:val="16"/>
    </w:rPr>
  </w:style>
  <w:style w:type="character" w:customStyle="1" w:styleId="BalloonTextChar">
    <w:name w:val="Balloon Text Char"/>
    <w:link w:val="BalloonText"/>
    <w:uiPriority w:val="99"/>
    <w:semiHidden/>
    <w:rsid w:val="004E7C82"/>
    <w:rPr>
      <w:rFonts w:ascii="Tahoma" w:hAnsi="Tahoma" w:cs="Tahoma"/>
      <w:sz w:val="16"/>
      <w:szCs w:val="16"/>
    </w:rPr>
  </w:style>
  <w:style w:type="character" w:styleId="CommentReference">
    <w:name w:val="annotation reference"/>
    <w:uiPriority w:val="99"/>
    <w:semiHidden/>
    <w:unhideWhenUsed/>
    <w:rsid w:val="00114071"/>
    <w:rPr>
      <w:sz w:val="16"/>
      <w:szCs w:val="16"/>
    </w:rPr>
  </w:style>
  <w:style w:type="paragraph" w:styleId="CommentText">
    <w:name w:val="annotation text"/>
    <w:basedOn w:val="Normal"/>
    <w:link w:val="CommentTextChar"/>
    <w:uiPriority w:val="99"/>
    <w:semiHidden/>
    <w:unhideWhenUsed/>
    <w:rsid w:val="00114071"/>
  </w:style>
  <w:style w:type="character" w:customStyle="1" w:styleId="CommentTextChar">
    <w:name w:val="Comment Text Char"/>
    <w:basedOn w:val="DefaultParagraphFont"/>
    <w:link w:val="CommentText"/>
    <w:uiPriority w:val="99"/>
    <w:semiHidden/>
    <w:rsid w:val="00114071"/>
  </w:style>
  <w:style w:type="paragraph" w:styleId="CommentSubject">
    <w:name w:val="annotation subject"/>
    <w:basedOn w:val="CommentText"/>
    <w:next w:val="CommentText"/>
    <w:link w:val="CommentSubjectChar"/>
    <w:uiPriority w:val="99"/>
    <w:semiHidden/>
    <w:unhideWhenUsed/>
    <w:rsid w:val="00114071"/>
    <w:rPr>
      <w:b/>
      <w:bCs/>
    </w:rPr>
  </w:style>
  <w:style w:type="character" w:customStyle="1" w:styleId="CommentSubjectChar">
    <w:name w:val="Comment Subject Char"/>
    <w:link w:val="CommentSubject"/>
    <w:uiPriority w:val="99"/>
    <w:semiHidden/>
    <w:rsid w:val="00114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after="240"/>
      <w:outlineLvl w:val="1"/>
    </w:pPr>
    <w:rPr>
      <w:b/>
      <w:i/>
      <w:sz w:val="1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qFormat/>
    <w:pPr>
      <w:keepNext/>
      <w:tabs>
        <w:tab w:val="left" w:pos="720"/>
        <w:tab w:val="center" w:pos="4500"/>
      </w:tabs>
      <w:ind w:firstLine="720"/>
      <w:outlineLvl w:val="5"/>
    </w:pPr>
    <w:rPr>
      <w:b/>
      <w:sz w:val="24"/>
    </w:rPr>
  </w:style>
  <w:style w:type="paragraph" w:styleId="Heading7">
    <w:name w:val="heading 7"/>
    <w:basedOn w:val="Normal"/>
    <w:next w:val="Normal"/>
    <w:qFormat/>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CG Times (W1)" w:hAnsi="CG Times (W1)"/>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basedOn w:val="DefaultParagraphFont"/>
    <w:link w:val="Header"/>
    <w:uiPriority w:val="99"/>
    <w:rsid w:val="00D95221"/>
  </w:style>
  <w:style w:type="paragraph" w:styleId="BalloonText">
    <w:name w:val="Balloon Text"/>
    <w:basedOn w:val="Normal"/>
    <w:link w:val="BalloonTextChar"/>
    <w:uiPriority w:val="99"/>
    <w:semiHidden/>
    <w:unhideWhenUsed/>
    <w:rsid w:val="004E7C82"/>
    <w:rPr>
      <w:rFonts w:ascii="Tahoma" w:hAnsi="Tahoma" w:cs="Tahoma"/>
      <w:sz w:val="16"/>
      <w:szCs w:val="16"/>
    </w:rPr>
  </w:style>
  <w:style w:type="character" w:customStyle="1" w:styleId="BalloonTextChar">
    <w:name w:val="Balloon Text Char"/>
    <w:link w:val="BalloonText"/>
    <w:uiPriority w:val="99"/>
    <w:semiHidden/>
    <w:rsid w:val="004E7C82"/>
    <w:rPr>
      <w:rFonts w:ascii="Tahoma" w:hAnsi="Tahoma" w:cs="Tahoma"/>
      <w:sz w:val="16"/>
      <w:szCs w:val="16"/>
    </w:rPr>
  </w:style>
  <w:style w:type="character" w:styleId="CommentReference">
    <w:name w:val="annotation reference"/>
    <w:uiPriority w:val="99"/>
    <w:semiHidden/>
    <w:unhideWhenUsed/>
    <w:rsid w:val="00114071"/>
    <w:rPr>
      <w:sz w:val="16"/>
      <w:szCs w:val="16"/>
    </w:rPr>
  </w:style>
  <w:style w:type="paragraph" w:styleId="CommentText">
    <w:name w:val="annotation text"/>
    <w:basedOn w:val="Normal"/>
    <w:link w:val="CommentTextChar"/>
    <w:uiPriority w:val="99"/>
    <w:semiHidden/>
    <w:unhideWhenUsed/>
    <w:rsid w:val="00114071"/>
  </w:style>
  <w:style w:type="character" w:customStyle="1" w:styleId="CommentTextChar">
    <w:name w:val="Comment Text Char"/>
    <w:basedOn w:val="DefaultParagraphFont"/>
    <w:link w:val="CommentText"/>
    <w:uiPriority w:val="99"/>
    <w:semiHidden/>
    <w:rsid w:val="00114071"/>
  </w:style>
  <w:style w:type="paragraph" w:styleId="CommentSubject">
    <w:name w:val="annotation subject"/>
    <w:basedOn w:val="CommentText"/>
    <w:next w:val="CommentText"/>
    <w:link w:val="CommentSubjectChar"/>
    <w:uiPriority w:val="99"/>
    <w:semiHidden/>
    <w:unhideWhenUsed/>
    <w:rsid w:val="00114071"/>
    <w:rPr>
      <w:b/>
      <w:bCs/>
    </w:rPr>
  </w:style>
  <w:style w:type="character" w:customStyle="1" w:styleId="CommentSubjectChar">
    <w:name w:val="Comment Subject Char"/>
    <w:link w:val="CommentSubject"/>
    <w:uiPriority w:val="99"/>
    <w:semiHidden/>
    <w:rsid w:val="0011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ecision_Brief_Agenda_Iterm_7.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CTB Resolution</vt:lpstr>
    </vt:vector>
  </TitlesOfParts>
  <Company>Virginia IT Infrastructure Partnership</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CTB Resolution</dc:title>
  <dc:subject>Industrial Access</dc:subject>
  <dc:creator>VDOT Employee</dc:creator>
  <dc:description>Bonded, matching funds required, administered by locality</dc:description>
  <cp:lastModifiedBy>Mathis, Carol A. (VDOT)</cp:lastModifiedBy>
  <cp:revision>4</cp:revision>
  <cp:lastPrinted>2013-11-20T21:45:00Z</cp:lastPrinted>
  <dcterms:created xsi:type="dcterms:W3CDTF">2015-02-02T13:34:00Z</dcterms:created>
  <dcterms:modified xsi:type="dcterms:W3CDTF">2015-02-02T15:21:00Z</dcterms:modified>
</cp:coreProperties>
</file>